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DEA37">
      <w:pPr>
        <w:keepNext w:val="0"/>
        <w:keepLines w:val="0"/>
        <w:pageBreakBefore w:val="0"/>
        <w:widowControl w:val="0"/>
        <w:kinsoku/>
        <w:wordWrap/>
        <w:overflowPunct/>
        <w:topLinePunct w:val="0"/>
        <w:autoSpaceDE w:val="0"/>
        <w:autoSpaceDN/>
        <w:bidi w:val="0"/>
        <w:adjustRightInd/>
        <w:snapToGrid/>
        <w:spacing w:line="540" w:lineRule="exact"/>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14:paraId="053BF8AB">
      <w:pPr>
        <w:spacing w:line="540" w:lineRule="exact"/>
        <w:jc w:val="center"/>
        <w:rPr>
          <w:rFonts w:hint="eastAsia" w:ascii="楷体_GB2312" w:hAnsi="楷体_GB2312" w:eastAsia="楷体_GB2312" w:cs="楷体_GB2312"/>
          <w:color w:val="auto"/>
          <w:sz w:val="44"/>
          <w:szCs w:val="44"/>
        </w:rPr>
      </w:pPr>
      <w:r>
        <w:rPr>
          <w:rFonts w:hint="eastAsia" w:ascii="宋体" w:hAnsi="宋体" w:eastAsia="宋体" w:cs="宋体"/>
          <w:b/>
          <w:bCs/>
          <w:color w:val="auto"/>
          <w:sz w:val="44"/>
          <w:szCs w:val="44"/>
        </w:rPr>
        <w:t>主管部门履职情况</w:t>
      </w:r>
      <w:r>
        <w:rPr>
          <w:rFonts w:hint="eastAsia" w:ascii="宋体" w:hAnsi="宋体" w:eastAsia="宋体" w:cs="宋体"/>
          <w:b/>
          <w:color w:val="auto"/>
          <w:sz w:val="44"/>
          <w:szCs w:val="44"/>
        </w:rPr>
        <w:t>检查</w:t>
      </w:r>
      <w:r>
        <w:rPr>
          <w:rFonts w:hint="eastAsia" w:ascii="宋体" w:hAnsi="宋体" w:eastAsia="宋体" w:cs="宋体"/>
          <w:b/>
          <w:color w:val="auto"/>
          <w:sz w:val="44"/>
          <w:szCs w:val="44"/>
          <w:lang w:eastAsia="zh-CN"/>
        </w:rPr>
        <w:t>赋分</w:t>
      </w:r>
      <w:r>
        <w:rPr>
          <w:rFonts w:hint="eastAsia" w:ascii="宋体" w:hAnsi="宋体" w:eastAsia="宋体" w:cs="宋体"/>
          <w:b/>
          <w:color w:val="auto"/>
          <w:sz w:val="44"/>
          <w:szCs w:val="44"/>
        </w:rPr>
        <w:t>表</w:t>
      </w:r>
    </w:p>
    <w:p w14:paraId="72BB3F51">
      <w:pPr>
        <w:adjustRightInd w:val="0"/>
        <w:snapToGrid w:val="0"/>
        <w:spacing w:line="540" w:lineRule="exact"/>
        <w:rPr>
          <w:rFonts w:hint="eastAsia" w:ascii="Times New Roman" w:hAnsi="Times New Roman" w:eastAsia="方正小标宋简体" w:cs="Times New Roman"/>
          <w:bCs/>
          <w:color w:val="auto"/>
          <w:sz w:val="28"/>
          <w:szCs w:val="28"/>
        </w:rPr>
      </w:pPr>
      <w:r>
        <w:rPr>
          <w:rFonts w:hint="eastAsia" w:ascii="楷体_GB2312" w:hAnsi="楷体_GB2312" w:eastAsia="楷体_GB2312" w:cs="楷体_GB2312"/>
          <w:color w:val="auto"/>
          <w:sz w:val="28"/>
          <w:szCs w:val="28"/>
          <w:lang w:eastAsia="zh-CN"/>
        </w:rPr>
        <w:t>检查</w:t>
      </w:r>
      <w:r>
        <w:rPr>
          <w:rFonts w:hint="eastAsia" w:ascii="楷体_GB2312" w:hAnsi="楷体_GB2312" w:eastAsia="楷体_GB2312" w:cs="楷体_GB2312"/>
          <w:color w:val="auto"/>
          <w:sz w:val="28"/>
          <w:szCs w:val="28"/>
        </w:rPr>
        <w:t>县（市、区）住建主管部门：</w:t>
      </w:r>
    </w:p>
    <w:tbl>
      <w:tblPr>
        <w:tblStyle w:val="4"/>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261"/>
        <w:gridCol w:w="7087"/>
        <w:gridCol w:w="1189"/>
      </w:tblGrid>
      <w:tr w14:paraId="55AB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41" w:type="dxa"/>
            <w:noWrap w:val="0"/>
            <w:vAlign w:val="center"/>
          </w:tcPr>
          <w:p w14:paraId="4A6F214B">
            <w:pPr>
              <w:adjustRightInd w:val="0"/>
              <w:snapToGrid w:val="0"/>
              <w:spacing w:line="32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1261" w:type="dxa"/>
            <w:noWrap w:val="0"/>
            <w:vAlign w:val="center"/>
          </w:tcPr>
          <w:p w14:paraId="40E135AA">
            <w:pPr>
              <w:adjustRightInd w:val="0"/>
              <w:snapToGrid w:val="0"/>
              <w:spacing w:line="32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检查类别</w:t>
            </w:r>
          </w:p>
        </w:tc>
        <w:tc>
          <w:tcPr>
            <w:tcW w:w="7087" w:type="dxa"/>
            <w:noWrap w:val="0"/>
            <w:vAlign w:val="center"/>
          </w:tcPr>
          <w:p w14:paraId="3A90388E">
            <w:pPr>
              <w:adjustRightInd w:val="0"/>
              <w:snapToGrid w:val="0"/>
              <w:spacing w:line="32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检查重点及赋分权重</w:t>
            </w:r>
          </w:p>
        </w:tc>
        <w:tc>
          <w:tcPr>
            <w:tcW w:w="1189" w:type="dxa"/>
            <w:noWrap w:val="0"/>
            <w:vAlign w:val="center"/>
          </w:tcPr>
          <w:p w14:paraId="76EE6783">
            <w:pPr>
              <w:adjustRightInd w:val="0"/>
              <w:snapToGrid w:val="0"/>
              <w:spacing w:line="320" w:lineRule="exact"/>
              <w:jc w:val="center"/>
              <w:rPr>
                <w:rFonts w:hint="eastAsia" w:ascii="宋体" w:hAnsi="宋体" w:eastAsia="宋体" w:cs="宋体"/>
                <w:b/>
                <w:bCs/>
                <w:color w:val="auto"/>
                <w:sz w:val="24"/>
                <w:lang w:val="en"/>
              </w:rPr>
            </w:pPr>
            <w:r>
              <w:rPr>
                <w:rFonts w:hint="eastAsia" w:ascii="宋体" w:hAnsi="宋体" w:eastAsia="宋体" w:cs="宋体"/>
                <w:b/>
                <w:bCs/>
                <w:color w:val="auto"/>
                <w:sz w:val="24"/>
                <w:lang w:val="en"/>
              </w:rPr>
              <w:t>得分情况</w:t>
            </w:r>
          </w:p>
        </w:tc>
      </w:tr>
      <w:tr w14:paraId="5FDB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1" w:type="dxa"/>
            <w:vMerge w:val="restart"/>
            <w:noWrap w:val="0"/>
            <w:vAlign w:val="center"/>
          </w:tcPr>
          <w:p w14:paraId="518E3126">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261" w:type="dxa"/>
            <w:vMerge w:val="restart"/>
            <w:noWrap w:val="0"/>
            <w:vAlign w:val="center"/>
          </w:tcPr>
          <w:p w14:paraId="148F4998">
            <w:pPr>
              <w:adjustRightInd w:val="0"/>
              <w:snapToGrid w:val="0"/>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上级重要文件落实</w:t>
            </w:r>
          </w:p>
          <w:p w14:paraId="7827A635">
            <w:pPr>
              <w:adjustRightInd w:val="0"/>
              <w:snapToGrid w:val="0"/>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none"/>
              </w:rPr>
              <w:t>（</w:t>
            </w:r>
            <w:r>
              <w:rPr>
                <w:rFonts w:hint="eastAsia" w:ascii="仿宋_GB2312" w:hAnsi="仿宋_GB2312" w:eastAsia="仿宋_GB2312" w:cs="仿宋_GB2312"/>
                <w:color w:val="auto"/>
                <w:sz w:val="24"/>
                <w:u w:val="none"/>
                <w:lang w:val="en-US" w:eastAsia="zh-CN"/>
              </w:rPr>
              <w:t>40</w:t>
            </w:r>
            <w:r>
              <w:rPr>
                <w:rFonts w:hint="eastAsia" w:ascii="仿宋_GB2312" w:hAnsi="仿宋_GB2312" w:eastAsia="仿宋_GB2312" w:cs="仿宋_GB2312"/>
                <w:color w:val="auto"/>
                <w:sz w:val="24"/>
                <w:u w:val="none"/>
              </w:rPr>
              <w:t>分）</w:t>
            </w:r>
          </w:p>
        </w:tc>
        <w:tc>
          <w:tcPr>
            <w:tcW w:w="7087" w:type="dxa"/>
            <w:noWrap w:val="0"/>
            <w:vAlign w:val="center"/>
          </w:tcPr>
          <w:p w14:paraId="3D4E2BFF">
            <w:pPr>
              <w:adjustRightInd w:val="0"/>
              <w:snapToGrid w:val="0"/>
              <w:spacing w:line="320" w:lineRule="exact"/>
              <w:rPr>
                <w:rFonts w:hint="eastAsia" w:ascii="仿宋_GB2312" w:hAnsi="仿宋_GB2312" w:eastAsia="仿宋_GB2312" w:cs="仿宋_GB2312"/>
                <w:color w:val="FF0000"/>
                <w:sz w:val="24"/>
                <w:u w:val="none"/>
              </w:rPr>
            </w:pPr>
            <w:r>
              <w:rPr>
                <w:rFonts w:hint="eastAsia" w:ascii="仿宋_GB2312" w:hAnsi="仿宋_GB2312" w:eastAsia="仿宋_GB2312" w:cs="仿宋_GB2312"/>
                <w:b w:val="0"/>
                <w:bCs w:val="0"/>
                <w:color w:val="auto"/>
                <w:sz w:val="24"/>
                <w:u w:val="none"/>
                <w:lang w:eastAsia="zh-CN"/>
              </w:rPr>
              <w:t>（</w:t>
            </w:r>
            <w:r>
              <w:rPr>
                <w:rFonts w:hint="eastAsia" w:ascii="仿宋_GB2312" w:hAnsi="仿宋_GB2312" w:eastAsia="仿宋_GB2312" w:cs="仿宋_GB2312"/>
                <w:b w:val="0"/>
                <w:bCs w:val="0"/>
                <w:color w:val="auto"/>
                <w:sz w:val="24"/>
                <w:u w:val="none"/>
                <w:lang w:val="en-US" w:eastAsia="zh-CN"/>
              </w:rPr>
              <w:t>1</w:t>
            </w:r>
            <w:r>
              <w:rPr>
                <w:rFonts w:hint="eastAsia" w:ascii="仿宋_GB2312" w:hAnsi="仿宋_GB2312" w:eastAsia="仿宋_GB2312" w:cs="仿宋_GB2312"/>
                <w:b w:val="0"/>
                <w:bCs w:val="0"/>
                <w:color w:val="auto"/>
                <w:sz w:val="24"/>
                <w:u w:val="none"/>
                <w:lang w:eastAsia="zh-CN"/>
              </w:rPr>
              <w:t>）《泉州市建筑业高质量发展三年行动方案》：①</w:t>
            </w:r>
            <w:r>
              <w:rPr>
                <w:rFonts w:hint="eastAsia" w:ascii="仿宋_GB2312" w:hAnsi="仿宋_GB2312" w:eastAsia="仿宋_GB2312" w:cs="仿宋_GB2312"/>
                <w:b w:val="0"/>
                <w:bCs w:val="0"/>
                <w:color w:val="auto"/>
                <w:sz w:val="24"/>
                <w:u w:val="none"/>
                <w:lang w:val="en-US" w:eastAsia="zh-CN"/>
              </w:rPr>
              <w:t>2024年全域建筑业产值增速，</w:t>
            </w:r>
            <w:r>
              <w:rPr>
                <w:rFonts w:hint="eastAsia" w:ascii="仿宋_GB2312" w:hAnsi="仿宋_GB2312" w:eastAsia="仿宋_GB2312" w:cs="仿宋_GB2312"/>
                <w:b w:val="0"/>
                <w:bCs w:val="0"/>
                <w:color w:val="auto"/>
                <w:sz w:val="24"/>
                <w:u w:val="none"/>
                <w:lang w:eastAsia="zh-CN"/>
              </w:rPr>
              <w:t>全市前</w:t>
            </w:r>
            <w:r>
              <w:rPr>
                <w:rFonts w:hint="eastAsia" w:ascii="仿宋_GB2312" w:hAnsi="仿宋_GB2312" w:eastAsia="仿宋_GB2312" w:cs="仿宋_GB2312"/>
                <w:b w:val="0"/>
                <w:bCs w:val="0"/>
                <w:color w:val="auto"/>
                <w:sz w:val="24"/>
                <w:u w:val="none"/>
                <w:lang w:val="en-US" w:eastAsia="zh-CN"/>
              </w:rPr>
              <w:t>5名依次得5、4、3、2、1分</w:t>
            </w:r>
            <w:r>
              <w:rPr>
                <w:rFonts w:hint="eastAsia" w:ascii="仿宋_GB2312" w:hAnsi="仿宋_GB2312" w:eastAsia="仿宋_GB2312" w:cs="仿宋_GB2312"/>
                <w:color w:val="auto"/>
                <w:sz w:val="24"/>
                <w:u w:val="none"/>
              </w:rPr>
              <w:t>，其余不得分</w:t>
            </w:r>
            <w:r>
              <w:rPr>
                <w:rFonts w:hint="eastAsia" w:ascii="仿宋_GB2312" w:hAnsi="仿宋_GB2312" w:eastAsia="仿宋_GB2312" w:cs="仿宋_GB2312"/>
                <w:b w:val="0"/>
                <w:bCs w:val="0"/>
                <w:color w:val="auto"/>
                <w:sz w:val="24"/>
                <w:u w:val="none"/>
                <w:lang w:eastAsia="zh-CN"/>
              </w:rPr>
              <w:t>。②</w:t>
            </w:r>
            <w:r>
              <w:rPr>
                <w:rFonts w:hint="eastAsia" w:ascii="仿宋_GB2312" w:hAnsi="仿宋_GB2312" w:eastAsia="仿宋_GB2312" w:cs="仿宋_GB2312"/>
                <w:b w:val="0"/>
                <w:bCs w:val="0"/>
                <w:color w:val="auto"/>
                <w:sz w:val="24"/>
                <w:u w:val="none"/>
                <w:lang w:val="en-US" w:eastAsia="zh-CN"/>
              </w:rPr>
              <w:t>2024年以来招引落地的泉州市外一级以上资质的重点建筑业企业（提供企业资质证书），每提供1家得1分，封顶5分。</w:t>
            </w:r>
          </w:p>
        </w:tc>
        <w:tc>
          <w:tcPr>
            <w:tcW w:w="1189" w:type="dxa"/>
            <w:noWrap w:val="0"/>
            <w:vAlign w:val="center"/>
          </w:tcPr>
          <w:p w14:paraId="457095D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rPr>
            </w:pPr>
          </w:p>
        </w:tc>
      </w:tr>
      <w:tr w14:paraId="452F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41" w:type="dxa"/>
            <w:vMerge w:val="continue"/>
            <w:noWrap w:val="0"/>
            <w:vAlign w:val="center"/>
          </w:tcPr>
          <w:p w14:paraId="67C4C457">
            <w:pPr>
              <w:adjustRightInd w:val="0"/>
              <w:snapToGrid w:val="0"/>
              <w:spacing w:line="320" w:lineRule="exact"/>
              <w:rPr>
                <w:rFonts w:ascii="Times New Roman" w:hAnsi="Times New Roman" w:eastAsia="宋体" w:cs="Times New Roman"/>
                <w:color w:val="auto"/>
                <w:sz w:val="21"/>
              </w:rPr>
            </w:pPr>
          </w:p>
        </w:tc>
        <w:tc>
          <w:tcPr>
            <w:tcW w:w="1261" w:type="dxa"/>
            <w:vMerge w:val="continue"/>
            <w:noWrap w:val="0"/>
            <w:vAlign w:val="center"/>
          </w:tcPr>
          <w:p w14:paraId="1988AEDC">
            <w:pPr>
              <w:adjustRightInd w:val="0"/>
              <w:snapToGrid w:val="0"/>
              <w:spacing w:line="320" w:lineRule="exact"/>
              <w:rPr>
                <w:rFonts w:ascii="Times New Roman" w:hAnsi="Times New Roman" w:eastAsia="宋体" w:cs="Times New Roman"/>
                <w:color w:val="auto"/>
                <w:sz w:val="21"/>
              </w:rPr>
            </w:pPr>
          </w:p>
        </w:tc>
        <w:tc>
          <w:tcPr>
            <w:tcW w:w="7087" w:type="dxa"/>
            <w:noWrap w:val="0"/>
            <w:vAlign w:val="center"/>
          </w:tcPr>
          <w:p w14:paraId="2EAEFC64">
            <w:pPr>
              <w:adjustRightInd w:val="0"/>
              <w:snapToGrid w:val="0"/>
              <w:spacing w:line="320" w:lineRule="exact"/>
              <w:rPr>
                <w:rFonts w:hint="eastAsia" w:ascii="仿宋_GB2312" w:hAnsi="仿宋_GB2312" w:eastAsia="仿宋_GB2312" w:cs="仿宋_GB2312"/>
                <w:color w:val="FF0000"/>
                <w:sz w:val="24"/>
                <w:u w:val="none"/>
                <w:lang w:val="en-US" w:eastAsia="zh-CN"/>
              </w:rPr>
            </w:pPr>
            <w:r>
              <w:rPr>
                <w:rFonts w:hint="eastAsia" w:ascii="仿宋_GB2312" w:hAnsi="仿宋_GB2312" w:eastAsia="仿宋_GB2312" w:cs="仿宋_GB2312"/>
                <w:b w:val="0"/>
                <w:bCs w:val="0"/>
                <w:color w:val="auto"/>
                <w:sz w:val="24"/>
                <w:u w:val="none"/>
                <w:lang w:val="en-US" w:eastAsia="zh-CN"/>
              </w:rPr>
              <w:t>（2）</w:t>
            </w:r>
            <w:r>
              <w:rPr>
                <w:rFonts w:hint="eastAsia" w:ascii="仿宋_GB2312" w:hAnsi="仿宋_GB2312" w:eastAsia="仿宋_GB2312" w:cs="仿宋_GB2312"/>
                <w:color w:val="auto"/>
                <w:sz w:val="24"/>
                <w:u w:val="none"/>
                <w:lang w:val="en-US" w:eastAsia="zh-CN"/>
              </w:rPr>
              <w:t>安全生产治本攻坚三年行动（4分）。①有传达部署“住建领域安全生产治本攻坚三年行动”和“房屋市政工程安全生产治本攻坚三年行动”，得1分。</w:t>
            </w:r>
            <w:r>
              <w:rPr>
                <w:rFonts w:hint="default" w:ascii="仿宋_GB2312" w:hAnsi="仿宋_GB2312" w:eastAsia="仿宋_GB2312" w:cs="仿宋_GB2312"/>
                <w:color w:val="auto"/>
                <w:sz w:val="24"/>
                <w:u w:val="none"/>
                <w:lang w:val="en-US" w:eastAsia="zh-CN"/>
              </w:rPr>
              <w:t>②</w:t>
            </w:r>
            <w:r>
              <w:rPr>
                <w:rFonts w:hint="eastAsia" w:ascii="仿宋_GB2312" w:hAnsi="仿宋_GB2312" w:eastAsia="仿宋_GB2312" w:cs="仿宋_GB2312"/>
                <w:color w:val="auto"/>
                <w:sz w:val="24"/>
                <w:u w:val="none"/>
                <w:lang w:val="en-US" w:eastAsia="zh-CN"/>
              </w:rPr>
              <w:t>有传达部署“落实全员安全生产责任制，加强企业安全生产能力建设”，开展安全生产标准化提升固本强基“十百千万”示范工程标杆企业和示范岗位创建的，得1分。</w:t>
            </w:r>
            <w:r>
              <w:rPr>
                <w:rFonts w:hint="default" w:ascii="仿宋_GB2312" w:hAnsi="仿宋_GB2312" w:eastAsia="仿宋_GB2312" w:cs="仿宋_GB2312"/>
                <w:color w:val="auto"/>
                <w:sz w:val="24"/>
                <w:u w:val="none"/>
                <w:lang w:val="en-US" w:eastAsia="zh-CN"/>
              </w:rPr>
              <w:t>③</w:t>
            </w:r>
            <w:r>
              <w:rPr>
                <w:rFonts w:hint="eastAsia" w:ascii="仿宋_GB2312" w:hAnsi="仿宋_GB2312" w:eastAsia="仿宋_GB2312" w:cs="仿宋_GB2312"/>
                <w:color w:val="auto"/>
                <w:sz w:val="24"/>
                <w:u w:val="none"/>
                <w:lang w:val="en-US" w:eastAsia="zh-CN"/>
              </w:rPr>
              <w:t>房屋市政工程安全生产治本攻坚三年行动2024年各项工作任务有序推进的，得1分（提供进展情况表）。④有落实典型案例公布曝光的，得1分。</w:t>
            </w:r>
          </w:p>
        </w:tc>
        <w:tc>
          <w:tcPr>
            <w:tcW w:w="1189" w:type="dxa"/>
            <w:noWrap w:val="0"/>
            <w:vAlign w:val="center"/>
          </w:tcPr>
          <w:p w14:paraId="5EA677A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lang w:val="en-US" w:eastAsia="zh-CN"/>
              </w:rPr>
            </w:pPr>
          </w:p>
        </w:tc>
      </w:tr>
      <w:tr w14:paraId="46BE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441" w:type="dxa"/>
            <w:vMerge w:val="continue"/>
            <w:noWrap w:val="0"/>
            <w:vAlign w:val="center"/>
          </w:tcPr>
          <w:p w14:paraId="67E467C5">
            <w:pPr>
              <w:adjustRightInd w:val="0"/>
              <w:snapToGrid w:val="0"/>
              <w:spacing w:line="320" w:lineRule="exact"/>
              <w:rPr>
                <w:rFonts w:hint="eastAsia" w:ascii="仿宋_GB2312" w:hAnsi="仿宋_GB2312" w:eastAsia="仿宋_GB2312" w:cs="仿宋_GB2312"/>
                <w:color w:val="auto"/>
                <w:sz w:val="24"/>
                <w:lang w:val="en-US" w:eastAsia="zh-CN"/>
              </w:rPr>
            </w:pPr>
          </w:p>
        </w:tc>
        <w:tc>
          <w:tcPr>
            <w:tcW w:w="1261" w:type="dxa"/>
            <w:vMerge w:val="continue"/>
            <w:noWrap w:val="0"/>
            <w:vAlign w:val="center"/>
          </w:tcPr>
          <w:p w14:paraId="471472A0">
            <w:pPr>
              <w:adjustRightInd w:val="0"/>
              <w:snapToGrid w:val="0"/>
              <w:spacing w:line="320" w:lineRule="exact"/>
              <w:rPr>
                <w:rFonts w:hint="eastAsia" w:ascii="仿宋_GB2312" w:hAnsi="仿宋_GB2312" w:eastAsia="仿宋_GB2312" w:cs="仿宋_GB2312"/>
                <w:color w:val="auto"/>
                <w:sz w:val="24"/>
                <w:lang w:val="en-US" w:eastAsia="zh-CN"/>
              </w:rPr>
            </w:pPr>
          </w:p>
        </w:tc>
        <w:tc>
          <w:tcPr>
            <w:tcW w:w="7087" w:type="dxa"/>
            <w:noWrap w:val="0"/>
            <w:vAlign w:val="center"/>
          </w:tcPr>
          <w:p w14:paraId="42A5E286">
            <w:pPr>
              <w:numPr>
                <w:ilvl w:val="0"/>
                <w:numId w:val="0"/>
              </w:numPr>
              <w:adjustRightInd w:val="0"/>
              <w:snapToGrid w:val="0"/>
              <w:spacing w:line="320" w:lineRule="exact"/>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（3）施工现场安全管理专项整治（9分）。①检查项目数大于辖区“应考评”项目数50%的，得5分。②“专项整治期间”报送1批典型案例得2分，报送2批得4分。</w:t>
            </w:r>
          </w:p>
        </w:tc>
        <w:tc>
          <w:tcPr>
            <w:tcW w:w="1189" w:type="dxa"/>
            <w:noWrap w:val="0"/>
            <w:vAlign w:val="center"/>
          </w:tcPr>
          <w:p w14:paraId="7100663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auto"/>
                <w:sz w:val="24"/>
                <w:lang w:val="en-US" w:eastAsia="zh-CN"/>
              </w:rPr>
            </w:pPr>
          </w:p>
        </w:tc>
      </w:tr>
      <w:tr w14:paraId="19EC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441" w:type="dxa"/>
            <w:vMerge w:val="continue"/>
            <w:noWrap w:val="0"/>
            <w:vAlign w:val="center"/>
          </w:tcPr>
          <w:p w14:paraId="61FE651F">
            <w:pPr>
              <w:adjustRightInd w:val="0"/>
              <w:snapToGrid w:val="0"/>
              <w:spacing w:line="320" w:lineRule="exact"/>
              <w:rPr>
                <w:rFonts w:hint="eastAsia" w:ascii="仿宋_GB2312" w:hAnsi="仿宋_GB2312" w:eastAsia="仿宋_GB2312" w:cs="仿宋_GB2312"/>
                <w:color w:val="auto"/>
                <w:sz w:val="24"/>
                <w:lang w:val="en-US" w:eastAsia="zh-CN"/>
              </w:rPr>
            </w:pPr>
          </w:p>
        </w:tc>
        <w:tc>
          <w:tcPr>
            <w:tcW w:w="1261" w:type="dxa"/>
            <w:vMerge w:val="continue"/>
            <w:noWrap w:val="0"/>
            <w:vAlign w:val="center"/>
          </w:tcPr>
          <w:p w14:paraId="7AA73E0B">
            <w:pPr>
              <w:adjustRightInd w:val="0"/>
              <w:snapToGrid w:val="0"/>
              <w:spacing w:line="320" w:lineRule="exact"/>
              <w:rPr>
                <w:rFonts w:hint="eastAsia" w:ascii="仿宋_GB2312" w:hAnsi="仿宋_GB2312" w:eastAsia="仿宋_GB2312" w:cs="仿宋_GB2312"/>
                <w:color w:val="auto"/>
                <w:sz w:val="24"/>
                <w:lang w:val="en-US" w:eastAsia="zh-CN"/>
              </w:rPr>
            </w:pPr>
          </w:p>
        </w:tc>
        <w:tc>
          <w:tcPr>
            <w:tcW w:w="7087" w:type="dxa"/>
            <w:noWrap w:val="0"/>
            <w:vAlign w:val="center"/>
          </w:tcPr>
          <w:p w14:paraId="25F1EFFE">
            <w:pPr>
              <w:numPr>
                <w:ilvl w:val="0"/>
                <w:numId w:val="0"/>
              </w:numPr>
              <w:adjustRightInd w:val="0"/>
              <w:snapToGrid w:val="0"/>
              <w:spacing w:line="320" w:lineRule="exact"/>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4）质量安全专项活动宣贯落实（4分）。①组织宣贯培训《福建省房屋市政工程施工安全员工作手册》，得1分。②日常监管对项目未切实落实《工作手册》情况进行处理，得1分。③组织宣贯培训《关于加强房屋市政工程钢筋混凝土结构质量管控的通知》，得1分。④2024年有增加“质量多发问题”检查，得1分。</w:t>
            </w:r>
          </w:p>
        </w:tc>
        <w:tc>
          <w:tcPr>
            <w:tcW w:w="1189" w:type="dxa"/>
            <w:noWrap w:val="0"/>
            <w:vAlign w:val="center"/>
          </w:tcPr>
          <w:p w14:paraId="1C0150B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auto"/>
                <w:sz w:val="24"/>
                <w:lang w:val="en-US" w:eastAsia="zh-CN"/>
              </w:rPr>
            </w:pPr>
          </w:p>
        </w:tc>
      </w:tr>
      <w:tr w14:paraId="2717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441" w:type="dxa"/>
            <w:vMerge w:val="continue"/>
            <w:noWrap w:val="0"/>
            <w:vAlign w:val="center"/>
          </w:tcPr>
          <w:p w14:paraId="2AD0722B">
            <w:pPr>
              <w:adjustRightInd w:val="0"/>
              <w:snapToGrid w:val="0"/>
              <w:spacing w:line="320" w:lineRule="exact"/>
              <w:rPr>
                <w:rFonts w:hint="eastAsia" w:ascii="仿宋_GB2312" w:hAnsi="仿宋_GB2312" w:eastAsia="仿宋_GB2312" w:cs="仿宋_GB2312"/>
                <w:color w:val="auto"/>
                <w:sz w:val="24"/>
                <w:lang w:val="en-US" w:eastAsia="zh-CN"/>
              </w:rPr>
            </w:pPr>
          </w:p>
        </w:tc>
        <w:tc>
          <w:tcPr>
            <w:tcW w:w="1261" w:type="dxa"/>
            <w:vMerge w:val="continue"/>
            <w:noWrap w:val="0"/>
            <w:vAlign w:val="center"/>
          </w:tcPr>
          <w:p w14:paraId="7F055A67">
            <w:pPr>
              <w:adjustRightInd w:val="0"/>
              <w:snapToGrid w:val="0"/>
              <w:spacing w:line="320" w:lineRule="exact"/>
              <w:rPr>
                <w:rFonts w:hint="eastAsia" w:ascii="仿宋_GB2312" w:hAnsi="仿宋_GB2312" w:eastAsia="仿宋_GB2312" w:cs="仿宋_GB2312"/>
                <w:color w:val="auto"/>
                <w:sz w:val="24"/>
                <w:lang w:val="en-US" w:eastAsia="zh-CN"/>
              </w:rPr>
            </w:pPr>
          </w:p>
        </w:tc>
        <w:tc>
          <w:tcPr>
            <w:tcW w:w="7087" w:type="dxa"/>
            <w:noWrap w:val="0"/>
            <w:vAlign w:val="center"/>
          </w:tcPr>
          <w:p w14:paraId="3DFABA05">
            <w:pPr>
              <w:numPr>
                <w:ilvl w:val="0"/>
                <w:numId w:val="0"/>
              </w:num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（5）安全检查系统（6分，今年6月以来的月份累加）</w:t>
            </w:r>
          </w:p>
          <w:p w14:paraId="18FD8281">
            <w:pPr>
              <w:numPr>
                <w:ilvl w:val="0"/>
                <w:numId w:val="0"/>
              </w:num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default" w:ascii="仿宋_GB2312" w:hAnsi="仿宋_GB2312" w:eastAsia="仿宋_GB2312" w:cs="仿宋_GB2312"/>
                <w:color w:val="auto"/>
                <w:sz w:val="24"/>
                <w:u w:val="none"/>
                <w:lang w:val="en-US" w:eastAsia="zh-CN"/>
              </w:rPr>
              <w:t>①</w:t>
            </w:r>
            <w:r>
              <w:rPr>
                <w:rFonts w:hint="eastAsia" w:ascii="仿宋_GB2312" w:hAnsi="仿宋_GB2312" w:eastAsia="仿宋_GB2312" w:cs="仿宋_GB2312"/>
                <w:color w:val="auto"/>
                <w:sz w:val="24"/>
                <w:u w:val="none"/>
                <w:lang w:val="en-US" w:eastAsia="zh-CN"/>
              </w:rPr>
              <w:t>关键岗位人员打卡完成率有排名全市前三的，得1分。</w:t>
            </w:r>
          </w:p>
          <w:p w14:paraId="3B0CC8D0">
            <w:pPr>
              <w:numPr>
                <w:ilvl w:val="0"/>
                <w:numId w:val="0"/>
              </w:numPr>
              <w:adjustRightInd w:val="0"/>
              <w:snapToGrid w:val="0"/>
              <w:spacing w:line="320" w:lineRule="exact"/>
              <w:rPr>
                <w:rFonts w:hint="default" w:ascii="仿宋_GB2312" w:hAnsi="仿宋_GB2312" w:eastAsia="仿宋_GB2312" w:cs="仿宋_GB2312"/>
                <w:color w:val="auto"/>
                <w:sz w:val="24"/>
                <w:u w:val="none"/>
                <w:lang w:val="en-US" w:eastAsia="zh-CN"/>
              </w:rPr>
            </w:pPr>
            <w:r>
              <w:rPr>
                <w:rFonts w:hint="default" w:ascii="仿宋_GB2312" w:hAnsi="仿宋_GB2312" w:eastAsia="仿宋_GB2312" w:cs="仿宋_GB2312"/>
                <w:color w:val="auto"/>
                <w:sz w:val="24"/>
                <w:u w:val="none"/>
                <w:lang w:val="en-US" w:eastAsia="zh-CN"/>
              </w:rPr>
              <w:t>②</w:t>
            </w:r>
            <w:r>
              <w:rPr>
                <w:rFonts w:hint="eastAsia" w:ascii="仿宋_GB2312" w:hAnsi="仿宋_GB2312" w:eastAsia="仿宋_GB2312" w:cs="仿宋_GB2312"/>
                <w:color w:val="auto"/>
                <w:sz w:val="24"/>
                <w:u w:val="none"/>
                <w:lang w:val="en-US" w:eastAsia="zh-CN"/>
              </w:rPr>
              <w:t>建设单位安全检查完成率有排名全市前三的，得1分。</w:t>
            </w:r>
          </w:p>
          <w:p w14:paraId="0578D969">
            <w:pPr>
              <w:numPr>
                <w:ilvl w:val="0"/>
                <w:numId w:val="0"/>
              </w:num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default" w:ascii="仿宋_GB2312" w:hAnsi="仿宋_GB2312" w:eastAsia="仿宋_GB2312" w:cs="仿宋_GB2312"/>
                <w:color w:val="auto"/>
                <w:sz w:val="24"/>
                <w:u w:val="none"/>
                <w:lang w:val="en-US" w:eastAsia="zh-CN"/>
              </w:rPr>
              <w:t>③</w:t>
            </w:r>
            <w:r>
              <w:rPr>
                <w:rFonts w:hint="eastAsia" w:ascii="仿宋_GB2312" w:hAnsi="仿宋_GB2312" w:eastAsia="仿宋_GB2312" w:cs="仿宋_GB2312"/>
                <w:color w:val="auto"/>
                <w:sz w:val="24"/>
                <w:u w:val="none"/>
                <w:lang w:val="en-US" w:eastAsia="zh-CN"/>
              </w:rPr>
              <w:t>施工单位项目负责人自查完成率有排名全市前三的，得1分。</w:t>
            </w:r>
          </w:p>
          <w:p w14:paraId="52F424F3">
            <w:pPr>
              <w:numPr>
                <w:ilvl w:val="0"/>
                <w:numId w:val="0"/>
              </w:num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④施工单位企业负责人自查完成率有排名全市前三的，得1分。</w:t>
            </w:r>
          </w:p>
          <w:p w14:paraId="0CE0E9D6">
            <w:pPr>
              <w:numPr>
                <w:ilvl w:val="0"/>
                <w:numId w:val="0"/>
              </w:num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⑤监理单位负责人自查完成率有排名全市前三的，得1分。</w:t>
            </w:r>
          </w:p>
          <w:p w14:paraId="678DF127">
            <w:pPr>
              <w:numPr>
                <w:ilvl w:val="0"/>
                <w:numId w:val="0"/>
              </w:numPr>
              <w:adjustRightInd w:val="0"/>
              <w:snapToGrid w:val="0"/>
              <w:spacing w:line="320" w:lineRule="exact"/>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⑥对未按规定频次开展安全检查落实监管记分的，得1分。</w:t>
            </w:r>
          </w:p>
        </w:tc>
        <w:tc>
          <w:tcPr>
            <w:tcW w:w="1189" w:type="dxa"/>
            <w:noWrap w:val="0"/>
            <w:vAlign w:val="center"/>
          </w:tcPr>
          <w:p w14:paraId="05E29C4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auto"/>
                <w:sz w:val="24"/>
                <w:lang w:val="en-US" w:eastAsia="zh-CN"/>
              </w:rPr>
            </w:pPr>
          </w:p>
        </w:tc>
      </w:tr>
      <w:tr w14:paraId="64F3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441" w:type="dxa"/>
            <w:vMerge w:val="continue"/>
            <w:noWrap w:val="0"/>
            <w:vAlign w:val="center"/>
          </w:tcPr>
          <w:p w14:paraId="5F22DE32">
            <w:pPr>
              <w:adjustRightInd w:val="0"/>
              <w:snapToGrid w:val="0"/>
              <w:spacing w:line="320" w:lineRule="exact"/>
              <w:rPr>
                <w:rFonts w:hint="eastAsia" w:ascii="仿宋_GB2312" w:hAnsi="仿宋_GB2312" w:eastAsia="仿宋_GB2312" w:cs="仿宋_GB2312"/>
                <w:color w:val="auto"/>
                <w:sz w:val="24"/>
                <w:lang w:val="en-US" w:eastAsia="zh-CN"/>
              </w:rPr>
            </w:pPr>
          </w:p>
        </w:tc>
        <w:tc>
          <w:tcPr>
            <w:tcW w:w="1261" w:type="dxa"/>
            <w:vMerge w:val="continue"/>
            <w:noWrap w:val="0"/>
            <w:vAlign w:val="center"/>
          </w:tcPr>
          <w:p w14:paraId="0FB04BA8">
            <w:pPr>
              <w:adjustRightInd w:val="0"/>
              <w:snapToGrid w:val="0"/>
              <w:spacing w:line="320" w:lineRule="exact"/>
              <w:rPr>
                <w:rFonts w:hint="eastAsia" w:ascii="仿宋_GB2312" w:hAnsi="仿宋_GB2312" w:eastAsia="仿宋_GB2312" w:cs="仿宋_GB2312"/>
                <w:color w:val="auto"/>
                <w:sz w:val="24"/>
                <w:lang w:val="en-US" w:eastAsia="zh-CN"/>
              </w:rPr>
            </w:pPr>
          </w:p>
        </w:tc>
        <w:tc>
          <w:tcPr>
            <w:tcW w:w="7087" w:type="dxa"/>
            <w:noWrap w:val="0"/>
            <w:vAlign w:val="center"/>
          </w:tcPr>
          <w:p w14:paraId="42B991C7">
            <w:pPr>
              <w:numPr>
                <w:ilvl w:val="0"/>
                <w:numId w:val="0"/>
              </w:num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（6）“一月一专题”专项行动（5分）。</w:t>
            </w:r>
            <w:r>
              <w:rPr>
                <w:rFonts w:hint="default" w:ascii="仿宋_GB2312" w:hAnsi="仿宋_GB2312" w:eastAsia="仿宋_GB2312" w:cs="仿宋_GB2312"/>
                <w:color w:val="auto"/>
                <w:sz w:val="24"/>
                <w:u w:val="none"/>
                <w:lang w:val="en-US" w:eastAsia="zh-CN"/>
              </w:rPr>
              <w:t>①</w:t>
            </w:r>
            <w:r>
              <w:rPr>
                <w:rFonts w:hint="eastAsia" w:ascii="仿宋_GB2312" w:hAnsi="仿宋_GB2312" w:eastAsia="仿宋_GB2312" w:cs="仿宋_GB2312"/>
                <w:color w:val="auto"/>
                <w:sz w:val="24"/>
                <w:u w:val="none"/>
                <w:lang w:val="en-US" w:eastAsia="zh-CN"/>
              </w:rPr>
              <w:t>(查阅相关资料和现场了解)有及时传达部署“爬架吊篮安全”“关键岗位人员到岗暨施工现场消防安全”“强化监理履职”“规范建机安拆”“高处作业安全”专题行动的，得1分。</w:t>
            </w:r>
            <w:r>
              <w:rPr>
                <w:rFonts w:hint="default" w:ascii="仿宋_GB2312" w:hAnsi="仿宋_GB2312" w:eastAsia="仿宋_GB2312" w:cs="仿宋_GB2312"/>
                <w:color w:val="auto"/>
                <w:sz w:val="24"/>
                <w:u w:val="none"/>
                <w:lang w:val="en-US" w:eastAsia="zh-CN"/>
              </w:rPr>
              <w:t>②</w:t>
            </w:r>
            <w:r>
              <w:rPr>
                <w:rFonts w:hint="eastAsia" w:ascii="仿宋_GB2312" w:hAnsi="仿宋_GB2312" w:eastAsia="仿宋_GB2312" w:cs="仿宋_GB2312"/>
                <w:color w:val="auto"/>
                <w:sz w:val="24"/>
                <w:u w:val="none"/>
                <w:lang w:val="en-US" w:eastAsia="zh-CN"/>
              </w:rPr>
              <w:t>在各专题行动中有采取信用记分、处罚等措施的，得1分。</w:t>
            </w:r>
            <w:r>
              <w:rPr>
                <w:rFonts w:hint="default" w:ascii="仿宋_GB2312" w:hAnsi="仿宋_GB2312" w:eastAsia="仿宋_GB2312" w:cs="仿宋_GB2312"/>
                <w:color w:val="auto"/>
                <w:sz w:val="24"/>
                <w:u w:val="none"/>
                <w:lang w:val="en-US" w:eastAsia="zh-CN"/>
              </w:rPr>
              <w:t>③</w:t>
            </w:r>
            <w:r>
              <w:rPr>
                <w:rFonts w:hint="eastAsia" w:ascii="仿宋_GB2312" w:hAnsi="仿宋_GB2312" w:eastAsia="仿宋_GB2312" w:cs="仿宋_GB2312"/>
                <w:color w:val="auto"/>
                <w:sz w:val="24"/>
                <w:u w:val="none"/>
                <w:lang w:val="en-US" w:eastAsia="zh-CN"/>
              </w:rPr>
              <w:t>受检项目未发现建机存在重大事故隐患的，得1分。④受检项目未发现涉及洞口临边防护和高处作业安全方面问题隐患的，得1分。⑤有及时将省厅制定的施工安全宣传手册传达到项目一线的，得1分。</w:t>
            </w:r>
          </w:p>
        </w:tc>
        <w:tc>
          <w:tcPr>
            <w:tcW w:w="1189" w:type="dxa"/>
            <w:noWrap w:val="0"/>
            <w:vAlign w:val="center"/>
          </w:tcPr>
          <w:p w14:paraId="611E992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auto"/>
                <w:sz w:val="24"/>
                <w:lang w:val="en-US" w:eastAsia="zh-CN"/>
              </w:rPr>
            </w:pPr>
          </w:p>
        </w:tc>
      </w:tr>
      <w:tr w14:paraId="3773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441" w:type="dxa"/>
            <w:vMerge w:val="continue"/>
            <w:noWrap w:val="0"/>
            <w:vAlign w:val="center"/>
          </w:tcPr>
          <w:p w14:paraId="4A5EA969">
            <w:pPr>
              <w:adjustRightInd w:val="0"/>
              <w:snapToGrid w:val="0"/>
              <w:spacing w:line="320" w:lineRule="exact"/>
              <w:rPr>
                <w:rFonts w:hint="eastAsia" w:ascii="仿宋_GB2312" w:hAnsi="仿宋_GB2312" w:eastAsia="仿宋_GB2312" w:cs="仿宋_GB2312"/>
                <w:color w:val="auto"/>
                <w:sz w:val="24"/>
                <w:lang w:val="en-US" w:eastAsia="zh-CN"/>
              </w:rPr>
            </w:pPr>
          </w:p>
        </w:tc>
        <w:tc>
          <w:tcPr>
            <w:tcW w:w="1261" w:type="dxa"/>
            <w:vMerge w:val="continue"/>
            <w:noWrap w:val="0"/>
            <w:vAlign w:val="center"/>
          </w:tcPr>
          <w:p w14:paraId="3511ECD5">
            <w:pPr>
              <w:adjustRightInd w:val="0"/>
              <w:snapToGrid w:val="0"/>
              <w:spacing w:line="320" w:lineRule="exact"/>
              <w:rPr>
                <w:rFonts w:hint="eastAsia" w:ascii="仿宋_GB2312" w:hAnsi="仿宋_GB2312" w:eastAsia="仿宋_GB2312" w:cs="仿宋_GB2312"/>
                <w:color w:val="auto"/>
                <w:sz w:val="24"/>
                <w:lang w:val="en-US" w:eastAsia="zh-CN"/>
              </w:rPr>
            </w:pPr>
          </w:p>
        </w:tc>
        <w:tc>
          <w:tcPr>
            <w:tcW w:w="7087" w:type="dxa"/>
            <w:noWrap w:val="0"/>
            <w:vAlign w:val="center"/>
          </w:tcPr>
          <w:p w14:paraId="71F5659E">
            <w:pPr>
              <w:numPr>
                <w:ilvl w:val="0"/>
                <w:numId w:val="0"/>
              </w:numPr>
              <w:adjustRightInd w:val="0"/>
              <w:snapToGrid w:val="0"/>
              <w:spacing w:line="320" w:lineRule="exact"/>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（7）</w:t>
            </w:r>
            <w:r>
              <w:rPr>
                <w:rFonts w:hint="eastAsia" w:ascii="仿宋_GB2312" w:hAnsi="仿宋_GB2312" w:eastAsia="仿宋_GB2312" w:cs="仿宋_GB2312"/>
                <w:b w:val="0"/>
                <w:bCs w:val="0"/>
                <w:color w:val="auto"/>
                <w:sz w:val="24"/>
                <w:u w:val="none"/>
                <w:lang w:val="en-US" w:eastAsia="zh-CN"/>
              </w:rPr>
              <w:t>《泉州市小散工程安全生产纳管暂行规定》（</w:t>
            </w:r>
            <w:r>
              <w:rPr>
                <w:rFonts w:hint="eastAsia" w:ascii="仿宋_GB2312" w:hAnsi="仿宋_GB2312" w:eastAsia="仿宋_GB2312" w:cs="仿宋_GB2312"/>
                <w:color w:val="auto"/>
                <w:sz w:val="24"/>
                <w:lang w:val="en-US" w:eastAsia="zh-CN"/>
              </w:rPr>
              <w:t>2分</w:t>
            </w:r>
            <w:r>
              <w:rPr>
                <w:rFonts w:hint="eastAsia" w:ascii="仿宋_GB2312" w:hAnsi="仿宋_GB2312" w:eastAsia="仿宋_GB2312" w:cs="仿宋_GB2312"/>
                <w:b w:val="0"/>
                <w:bCs w:val="0"/>
                <w:color w:val="auto"/>
                <w:sz w:val="24"/>
                <w:u w:val="none"/>
                <w:lang w:val="en-US" w:eastAsia="zh-CN"/>
              </w:rPr>
              <w:t>）</w:t>
            </w:r>
            <w:r>
              <w:rPr>
                <w:rFonts w:hint="eastAsia" w:ascii="仿宋_GB2312" w:hAnsi="仿宋_GB2312" w:eastAsia="仿宋_GB2312" w:cs="仿宋_GB2312"/>
                <w:color w:val="auto"/>
                <w:sz w:val="24"/>
                <w:u w:val="none"/>
                <w:lang w:val="en-US" w:eastAsia="zh-CN"/>
              </w:rPr>
              <w:t>：</w:t>
            </w:r>
            <w:r>
              <w:rPr>
                <w:rFonts w:hint="eastAsia" w:ascii="仿宋_GB2312" w:hAnsi="仿宋_GB2312" w:eastAsia="仿宋_GB2312" w:cs="仿宋_GB2312"/>
                <w:color w:val="auto"/>
                <w:sz w:val="24"/>
                <w:u w:val="none"/>
              </w:rPr>
              <w:t>①</w:t>
            </w:r>
            <w:r>
              <w:rPr>
                <w:rFonts w:hint="eastAsia" w:ascii="仿宋_GB2312" w:hAnsi="仿宋_GB2312" w:eastAsia="仿宋_GB2312" w:cs="仿宋_GB2312"/>
                <w:color w:val="auto"/>
                <w:sz w:val="24"/>
                <w:u w:val="none"/>
                <w:lang w:val="en-US" w:eastAsia="zh-CN"/>
              </w:rPr>
              <w:t>有2024年小散工程信息登记台账、乡镇（街道）有组织开展小散工程安全巡查的，得1分。</w:t>
            </w:r>
            <w:r>
              <w:rPr>
                <w:rFonts w:hint="eastAsia" w:ascii="仿宋_GB2312" w:hAnsi="仿宋_GB2312" w:eastAsia="仿宋_GB2312" w:cs="仿宋_GB2312"/>
                <w:color w:val="auto"/>
                <w:sz w:val="24"/>
                <w:u w:val="none"/>
              </w:rPr>
              <w:t>②</w:t>
            </w:r>
            <w:r>
              <w:rPr>
                <w:rFonts w:hint="eastAsia" w:ascii="仿宋_GB2312" w:hAnsi="仿宋_GB2312" w:eastAsia="仿宋_GB2312" w:cs="仿宋_GB2312"/>
                <w:color w:val="auto"/>
                <w:sz w:val="24"/>
                <w:u w:val="none"/>
                <w:lang w:val="en-US" w:eastAsia="zh-CN"/>
              </w:rPr>
              <w:t>2024年</w:t>
            </w:r>
            <w:r>
              <w:rPr>
                <w:rFonts w:hint="eastAsia" w:ascii="仿宋_GB2312" w:hAnsi="仿宋_GB2312" w:eastAsia="仿宋_GB2312" w:cs="仿宋_GB2312"/>
                <w:color w:val="auto"/>
                <w:sz w:val="24"/>
                <w:u w:val="none"/>
              </w:rPr>
              <w:t>对乡镇（街道）</w:t>
            </w:r>
            <w:r>
              <w:rPr>
                <w:rFonts w:hint="eastAsia" w:ascii="仿宋_GB2312" w:hAnsi="仿宋_GB2312" w:eastAsia="仿宋_GB2312" w:cs="仿宋_GB2312"/>
                <w:color w:val="auto"/>
                <w:sz w:val="24"/>
                <w:u w:val="none"/>
                <w:lang w:val="en-US" w:eastAsia="zh-CN"/>
              </w:rPr>
              <w:t>小散纳管登记和巡查情况</w:t>
            </w:r>
            <w:r>
              <w:rPr>
                <w:rFonts w:hint="eastAsia" w:ascii="仿宋_GB2312" w:hAnsi="仿宋_GB2312" w:eastAsia="仿宋_GB2312" w:cs="仿宋_GB2312"/>
                <w:color w:val="auto"/>
                <w:sz w:val="24"/>
                <w:u w:val="none"/>
              </w:rPr>
              <w:t>开展1次检查</w:t>
            </w:r>
            <w:r>
              <w:rPr>
                <w:rFonts w:hint="eastAsia" w:ascii="仿宋_GB2312" w:hAnsi="仿宋_GB2312" w:eastAsia="仿宋_GB2312" w:cs="仿宋_GB2312"/>
                <w:color w:val="auto"/>
                <w:sz w:val="24"/>
                <w:u w:val="none"/>
                <w:lang w:val="en-US" w:eastAsia="zh-CN"/>
              </w:rPr>
              <w:t>或组织全面培训的，</w:t>
            </w:r>
            <w:r>
              <w:rPr>
                <w:rFonts w:hint="eastAsia" w:ascii="仿宋_GB2312" w:hAnsi="仿宋_GB2312" w:eastAsia="仿宋_GB2312" w:cs="仿宋_GB2312"/>
                <w:color w:val="auto"/>
                <w:sz w:val="24"/>
                <w:u w:val="none"/>
              </w:rPr>
              <w:t>得</w:t>
            </w:r>
            <w:r>
              <w:rPr>
                <w:rFonts w:hint="eastAsia" w:ascii="仿宋_GB2312" w:hAnsi="仿宋_GB2312" w:eastAsia="仿宋_GB2312" w:cs="仿宋_GB2312"/>
                <w:color w:val="auto"/>
                <w:sz w:val="24"/>
                <w:u w:val="none"/>
                <w:lang w:val="en-US" w:eastAsia="zh-CN"/>
              </w:rPr>
              <w:t>0.5</w:t>
            </w:r>
            <w:r>
              <w:rPr>
                <w:rFonts w:hint="eastAsia" w:ascii="仿宋_GB2312" w:hAnsi="仿宋_GB2312" w:eastAsia="仿宋_GB2312" w:cs="仿宋_GB2312"/>
                <w:color w:val="auto"/>
                <w:sz w:val="24"/>
                <w:u w:val="none"/>
              </w:rPr>
              <w:t>分</w:t>
            </w:r>
            <w:r>
              <w:rPr>
                <w:rFonts w:ascii="仿宋_GB2312" w:hAnsi="仿宋_GB2312" w:eastAsia="仿宋_GB2312" w:cs="仿宋_GB2312"/>
                <w:color w:val="auto"/>
                <w:sz w:val="24"/>
                <w:u w:val="none"/>
              </w:rPr>
              <w:t>。</w:t>
            </w:r>
            <w:r>
              <w:rPr>
                <w:rFonts w:hint="default" w:ascii="仿宋_GB2312" w:hAnsi="仿宋_GB2312" w:eastAsia="仿宋_GB2312" w:cs="仿宋_GB2312"/>
                <w:color w:val="auto"/>
                <w:sz w:val="24"/>
                <w:u w:val="none"/>
                <w:lang w:val="en-US" w:eastAsia="zh-CN"/>
              </w:rPr>
              <w:t>③</w:t>
            </w:r>
            <w:r>
              <w:rPr>
                <w:rFonts w:hint="eastAsia" w:ascii="仿宋_GB2312" w:hAnsi="仿宋_GB2312" w:eastAsia="仿宋_GB2312" w:cs="仿宋_GB2312"/>
                <w:color w:val="auto"/>
                <w:sz w:val="24"/>
                <w:u w:val="none"/>
                <w:lang w:val="en-US" w:eastAsia="zh-CN"/>
              </w:rPr>
              <w:t>有将发现的涉及其他部门管理的违法违规行为书面进行抄告的，得0.5分。</w:t>
            </w:r>
          </w:p>
        </w:tc>
        <w:tc>
          <w:tcPr>
            <w:tcW w:w="1189" w:type="dxa"/>
            <w:noWrap w:val="0"/>
            <w:vAlign w:val="center"/>
          </w:tcPr>
          <w:p w14:paraId="12656AA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auto"/>
                <w:sz w:val="24"/>
                <w:lang w:val="en-US" w:eastAsia="zh-CN"/>
              </w:rPr>
            </w:pPr>
          </w:p>
        </w:tc>
      </w:tr>
      <w:tr w14:paraId="70D4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1" w:type="dxa"/>
            <w:vMerge w:val="restart"/>
            <w:noWrap w:val="0"/>
            <w:vAlign w:val="center"/>
          </w:tcPr>
          <w:p w14:paraId="4BEDCFFA">
            <w:pPr>
              <w:spacing w:line="32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261" w:type="dxa"/>
            <w:vMerge w:val="restart"/>
            <w:noWrap w:val="0"/>
            <w:vAlign w:val="center"/>
          </w:tcPr>
          <w:p w14:paraId="6A0315D4">
            <w:pPr>
              <w:adjustRightInd w:val="0"/>
              <w:snapToGrid w:val="0"/>
              <w:spacing w:line="32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招标文件备案审查</w:t>
            </w:r>
          </w:p>
          <w:p w14:paraId="555B5EC8">
            <w:pPr>
              <w:adjustRightInd w:val="0"/>
              <w:snapToGrid w:val="0"/>
              <w:spacing w:line="32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20</w:t>
            </w:r>
            <w:r>
              <w:rPr>
                <w:rFonts w:hint="eastAsia" w:ascii="仿宋_GB2312" w:hAnsi="仿宋_GB2312" w:eastAsia="仿宋_GB2312" w:cs="仿宋_GB2312"/>
                <w:color w:val="auto"/>
                <w:sz w:val="24"/>
                <w:highlight w:val="none"/>
              </w:rPr>
              <w:t>分）</w:t>
            </w:r>
          </w:p>
        </w:tc>
        <w:tc>
          <w:tcPr>
            <w:tcW w:w="7087" w:type="dxa"/>
            <w:noWrap w:val="0"/>
            <w:vAlign w:val="center"/>
          </w:tcPr>
          <w:p w14:paraId="1A95DD89">
            <w:pPr>
              <w:adjustRightInd w:val="0"/>
              <w:snapToGrid w:val="0"/>
              <w:spacing w:line="320" w:lineRule="exact"/>
              <w:rPr>
                <w:rFonts w:hint="eastAsia" w:ascii="仿宋_GB2312" w:hAnsi="仿宋_GB2312" w:eastAsia="仿宋_GB2312" w:cs="仿宋_GB2312"/>
                <w:color w:val="FF0000"/>
                <w:sz w:val="24"/>
                <w:highlight w:val="none"/>
                <w:u w:val="singl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lang w:eastAsia="zh-CN"/>
              </w:rPr>
              <w:t>）未发现招标投标书面报告备案时限超过规定期限的，得</w:t>
            </w:r>
            <w:r>
              <w:rPr>
                <w:rFonts w:hint="eastAsia" w:ascii="仿宋_GB2312" w:hAnsi="仿宋_GB2312" w:eastAsia="仿宋_GB2312" w:cs="仿宋_GB2312"/>
                <w:color w:val="auto"/>
                <w:sz w:val="24"/>
                <w:highlight w:val="none"/>
                <w:lang w:val="en-US" w:eastAsia="zh-CN"/>
              </w:rPr>
              <w:t>5分；每出现1次</w:t>
            </w:r>
            <w:r>
              <w:rPr>
                <w:rFonts w:hint="eastAsia" w:ascii="仿宋_GB2312" w:hAnsi="仿宋_GB2312" w:eastAsia="仿宋_GB2312" w:cs="仿宋_GB2312"/>
                <w:color w:val="auto"/>
                <w:sz w:val="24"/>
                <w:highlight w:val="none"/>
                <w:lang w:eastAsia="zh-CN"/>
              </w:rPr>
              <w:t>扣2分，封顶扣</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lang w:eastAsia="zh-CN"/>
              </w:rPr>
              <w:t>分。</w:t>
            </w:r>
          </w:p>
        </w:tc>
        <w:tc>
          <w:tcPr>
            <w:tcW w:w="1189" w:type="dxa"/>
            <w:noWrap w:val="0"/>
            <w:vAlign w:val="center"/>
          </w:tcPr>
          <w:p w14:paraId="58583F4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FF0000"/>
                <w:sz w:val="24"/>
                <w:u w:val="single"/>
              </w:rPr>
            </w:pPr>
          </w:p>
        </w:tc>
      </w:tr>
      <w:tr w14:paraId="4C8C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41" w:type="dxa"/>
            <w:vMerge w:val="continue"/>
            <w:noWrap w:val="0"/>
            <w:vAlign w:val="center"/>
          </w:tcPr>
          <w:p w14:paraId="39ECF9BD">
            <w:pPr>
              <w:adjustRightInd w:val="0"/>
              <w:snapToGrid w:val="0"/>
              <w:spacing w:line="320" w:lineRule="exact"/>
              <w:rPr>
                <w:rFonts w:ascii="Times New Roman" w:hAnsi="Times New Roman" w:eastAsia="宋体" w:cs="Times New Roman"/>
                <w:color w:val="auto"/>
                <w:sz w:val="21"/>
              </w:rPr>
            </w:pPr>
          </w:p>
        </w:tc>
        <w:tc>
          <w:tcPr>
            <w:tcW w:w="1261" w:type="dxa"/>
            <w:vMerge w:val="continue"/>
            <w:noWrap w:val="0"/>
            <w:vAlign w:val="center"/>
          </w:tcPr>
          <w:p w14:paraId="211A2CD7">
            <w:pPr>
              <w:adjustRightInd w:val="0"/>
              <w:snapToGrid w:val="0"/>
              <w:spacing w:line="320" w:lineRule="exact"/>
              <w:rPr>
                <w:rFonts w:ascii="Times New Roman" w:hAnsi="Times New Roman" w:eastAsia="宋体" w:cs="Times New Roman"/>
                <w:color w:val="auto"/>
                <w:sz w:val="21"/>
              </w:rPr>
            </w:pPr>
          </w:p>
        </w:tc>
        <w:tc>
          <w:tcPr>
            <w:tcW w:w="7087" w:type="dxa"/>
            <w:noWrap w:val="0"/>
            <w:vAlign w:val="center"/>
          </w:tcPr>
          <w:p w14:paraId="0E721EB4">
            <w:pPr>
              <w:adjustRightInd w:val="0"/>
              <w:snapToGrid w:val="0"/>
              <w:spacing w:line="320" w:lineRule="exact"/>
              <w:rPr>
                <w:rFonts w:hint="eastAsia" w:ascii="仿宋_GB2312" w:hAnsi="仿宋_GB2312" w:eastAsia="仿宋_GB2312" w:cs="仿宋_GB2312"/>
                <w:color w:val="FF0000"/>
                <w:sz w:val="24"/>
                <w:highlight w:val="none"/>
                <w:u w:val="singl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）各县（市、区）公开招投标的房建市政项目，提供202</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年招标文件书面整改反馈的数量、全年招投标备案项目数量，前者除以后者，</w:t>
            </w:r>
            <w:r>
              <w:rPr>
                <w:rFonts w:hint="eastAsia" w:ascii="仿宋_GB2312" w:hAnsi="仿宋_GB2312" w:eastAsia="仿宋_GB2312" w:cs="仿宋_GB2312"/>
                <w:b w:val="0"/>
                <w:bCs w:val="0"/>
                <w:color w:val="auto"/>
                <w:sz w:val="24"/>
                <w:lang w:eastAsia="zh-CN"/>
              </w:rPr>
              <w:t>全市前</w:t>
            </w:r>
            <w:r>
              <w:rPr>
                <w:rFonts w:hint="eastAsia" w:ascii="仿宋_GB2312" w:hAnsi="仿宋_GB2312" w:eastAsia="仿宋_GB2312" w:cs="仿宋_GB2312"/>
                <w:b w:val="0"/>
                <w:bCs w:val="0"/>
                <w:color w:val="auto"/>
                <w:sz w:val="24"/>
                <w:lang w:val="en-US" w:eastAsia="zh-CN"/>
              </w:rPr>
              <w:t>5名依次得5、4、3、2、1分</w:t>
            </w:r>
            <w:r>
              <w:rPr>
                <w:rFonts w:hint="eastAsia" w:ascii="仿宋_GB2312" w:hAnsi="仿宋_GB2312" w:eastAsia="仿宋_GB2312" w:cs="仿宋_GB2312"/>
                <w:color w:val="auto"/>
                <w:sz w:val="24"/>
              </w:rPr>
              <w:t>，其余不得分</w:t>
            </w:r>
            <w:r>
              <w:rPr>
                <w:rFonts w:hint="eastAsia" w:ascii="仿宋_GB2312" w:hAnsi="仿宋_GB2312" w:eastAsia="仿宋_GB2312" w:cs="仿宋_GB2312"/>
                <w:b w:val="0"/>
                <w:bCs w:val="0"/>
                <w:color w:val="auto"/>
                <w:sz w:val="24"/>
                <w:lang w:eastAsia="zh-CN"/>
              </w:rPr>
              <w:t>。</w:t>
            </w:r>
          </w:p>
        </w:tc>
        <w:tc>
          <w:tcPr>
            <w:tcW w:w="1189" w:type="dxa"/>
            <w:noWrap w:val="0"/>
            <w:vAlign w:val="center"/>
          </w:tcPr>
          <w:p w14:paraId="0B21F1F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FF0000"/>
                <w:sz w:val="24"/>
                <w:highlight w:val="none"/>
                <w:u w:val="single"/>
                <w:lang w:eastAsia="zh-CN"/>
              </w:rPr>
            </w:pPr>
          </w:p>
        </w:tc>
      </w:tr>
      <w:tr w14:paraId="1DCE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41" w:type="dxa"/>
            <w:vMerge w:val="continue"/>
            <w:noWrap w:val="0"/>
            <w:vAlign w:val="center"/>
          </w:tcPr>
          <w:p w14:paraId="5C7EC5BE">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1261" w:type="dxa"/>
            <w:vMerge w:val="continue"/>
            <w:noWrap w:val="0"/>
            <w:vAlign w:val="center"/>
          </w:tcPr>
          <w:p w14:paraId="6C213EC4">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7087" w:type="dxa"/>
            <w:noWrap w:val="0"/>
            <w:vAlign w:val="center"/>
          </w:tcPr>
          <w:p w14:paraId="623EBFC4">
            <w:pPr>
              <w:adjustRightInd w:val="0"/>
              <w:snapToGrid w:val="0"/>
              <w:spacing w:line="320" w:lineRule="exact"/>
              <w:rPr>
                <w:rFonts w:hint="eastAsia" w:ascii="仿宋_GB2312" w:hAnsi="仿宋_GB2312" w:eastAsia="仿宋_GB2312" w:cs="仿宋_GB2312"/>
                <w:color w:val="FF0000"/>
                <w:sz w:val="24"/>
                <w:highlight w:val="none"/>
                <w:u w:val="singl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lang w:eastAsia="zh-CN"/>
              </w:rPr>
              <w:t>）提供投诉处理台账的（无投诉的，需出具本辖区</w:t>
            </w:r>
            <w:r>
              <w:rPr>
                <w:rFonts w:hint="eastAsia" w:ascii="仿宋_GB2312" w:hAnsi="仿宋_GB2312" w:eastAsia="仿宋_GB2312" w:cs="仿宋_GB2312"/>
                <w:color w:val="auto"/>
                <w:sz w:val="24"/>
                <w:highlight w:val="none"/>
                <w:lang w:val="en-US" w:eastAsia="zh-CN"/>
              </w:rPr>
              <w:t>2024</w:t>
            </w:r>
            <w:r>
              <w:rPr>
                <w:rFonts w:hint="eastAsia" w:ascii="仿宋_GB2312" w:hAnsi="仿宋_GB2312" w:eastAsia="仿宋_GB2312" w:cs="仿宋_GB2312"/>
                <w:color w:val="auto"/>
                <w:sz w:val="24"/>
                <w:highlight w:val="none"/>
                <w:lang w:eastAsia="zh-CN"/>
              </w:rPr>
              <w:t>年无投诉证明），得5分。</w:t>
            </w:r>
          </w:p>
        </w:tc>
        <w:tc>
          <w:tcPr>
            <w:tcW w:w="1189" w:type="dxa"/>
            <w:noWrap w:val="0"/>
            <w:vAlign w:val="center"/>
          </w:tcPr>
          <w:p w14:paraId="431FC2C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FF0000"/>
                <w:sz w:val="24"/>
                <w:highlight w:val="none"/>
                <w:u w:val="single"/>
                <w:lang w:eastAsia="zh-CN"/>
              </w:rPr>
            </w:pPr>
          </w:p>
        </w:tc>
      </w:tr>
      <w:tr w14:paraId="2595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441" w:type="dxa"/>
            <w:vMerge w:val="continue"/>
            <w:noWrap w:val="0"/>
            <w:vAlign w:val="center"/>
          </w:tcPr>
          <w:p w14:paraId="3F82FC8B">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1261" w:type="dxa"/>
            <w:vMerge w:val="continue"/>
            <w:noWrap w:val="0"/>
            <w:vAlign w:val="center"/>
          </w:tcPr>
          <w:p w14:paraId="4DE67BD8">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7087" w:type="dxa"/>
            <w:noWrap w:val="0"/>
            <w:vAlign w:val="center"/>
          </w:tcPr>
          <w:p w14:paraId="18918E07">
            <w:pPr>
              <w:adjustRightInd w:val="0"/>
              <w:snapToGrid w:val="0"/>
              <w:spacing w:line="320" w:lineRule="exact"/>
              <w:rPr>
                <w:rFonts w:hint="eastAsia" w:ascii="仿宋_GB2312" w:hAnsi="仿宋_GB2312" w:eastAsia="仿宋_GB2312" w:cs="仿宋_GB2312"/>
                <w:color w:val="FF0000"/>
                <w:sz w:val="24"/>
                <w:highlight w:val="none"/>
                <w:u w:val="single"/>
                <w:lang w:eastAsia="zh-CN"/>
              </w:rPr>
            </w:pP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4</w:t>
            </w:r>
            <w:r>
              <w:rPr>
                <w:rFonts w:hint="eastAsia" w:ascii="仿宋_GB2312" w:hAnsi="仿宋_GB2312" w:eastAsia="仿宋_GB2312" w:cs="仿宋_GB2312"/>
                <w:color w:val="auto"/>
                <w:sz w:val="24"/>
                <w:highlight w:val="none"/>
                <w:u w:val="none"/>
                <w:lang w:eastAsia="zh-CN"/>
              </w:rPr>
              <w:t>）投诉处理均能落实闭环的，</w:t>
            </w:r>
            <w:r>
              <w:rPr>
                <w:rFonts w:hint="eastAsia" w:ascii="仿宋_GB2312" w:hAnsi="仿宋_GB2312" w:eastAsia="仿宋_GB2312" w:cs="仿宋_GB2312"/>
                <w:color w:val="auto"/>
                <w:sz w:val="24"/>
                <w:highlight w:val="none"/>
                <w:lang w:eastAsia="zh-CN"/>
              </w:rPr>
              <w:t>得</w:t>
            </w:r>
            <w:r>
              <w:rPr>
                <w:rFonts w:hint="eastAsia" w:ascii="仿宋_GB2312" w:hAnsi="仿宋_GB2312" w:eastAsia="仿宋_GB2312" w:cs="仿宋_GB2312"/>
                <w:color w:val="auto"/>
                <w:sz w:val="24"/>
                <w:highlight w:val="none"/>
                <w:lang w:val="en-US" w:eastAsia="zh-CN"/>
              </w:rPr>
              <w:t>5分；每出现1次</w:t>
            </w:r>
            <w:r>
              <w:rPr>
                <w:rFonts w:hint="eastAsia" w:ascii="仿宋_GB2312" w:hAnsi="仿宋_GB2312" w:eastAsia="仿宋_GB2312" w:cs="仿宋_GB2312"/>
                <w:color w:val="auto"/>
                <w:sz w:val="24"/>
                <w:highlight w:val="none"/>
                <w:lang w:eastAsia="zh-CN"/>
              </w:rPr>
              <w:t>扣2分，封顶扣</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lang w:eastAsia="zh-CN"/>
              </w:rPr>
              <w:t>分。</w:t>
            </w:r>
          </w:p>
        </w:tc>
        <w:tc>
          <w:tcPr>
            <w:tcW w:w="1189" w:type="dxa"/>
            <w:noWrap w:val="0"/>
            <w:vAlign w:val="center"/>
          </w:tcPr>
          <w:p w14:paraId="23A87F4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FF0000"/>
                <w:sz w:val="24"/>
                <w:highlight w:val="none"/>
                <w:u w:val="single"/>
                <w:lang w:eastAsia="zh-CN"/>
              </w:rPr>
            </w:pPr>
          </w:p>
        </w:tc>
      </w:tr>
      <w:tr w14:paraId="5427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441" w:type="dxa"/>
            <w:vMerge w:val="continue"/>
            <w:noWrap w:val="0"/>
            <w:vAlign w:val="center"/>
          </w:tcPr>
          <w:p w14:paraId="12E0D2C7">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1261" w:type="dxa"/>
            <w:vMerge w:val="continue"/>
            <w:noWrap w:val="0"/>
            <w:vAlign w:val="center"/>
          </w:tcPr>
          <w:p w14:paraId="5C3B09D4">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8276" w:type="dxa"/>
            <w:gridSpan w:val="2"/>
            <w:noWrap w:val="0"/>
            <w:vAlign w:val="center"/>
          </w:tcPr>
          <w:p w14:paraId="2A9BA65D">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FF0000"/>
                <w:sz w:val="24"/>
                <w:highlight w:val="none"/>
                <w:u w:val="single"/>
                <w:lang w:val="en-US" w:eastAsia="zh-CN"/>
              </w:rPr>
            </w:pPr>
            <w:r>
              <w:rPr>
                <w:rFonts w:hint="eastAsia" w:ascii="楷体_GB2312" w:hAnsi="楷体_GB2312" w:eastAsia="楷体_GB2312" w:cs="楷体_GB2312"/>
                <w:color w:val="auto"/>
                <w:sz w:val="24"/>
                <w:highlight w:val="none"/>
                <w:u w:val="none"/>
                <w:lang w:eastAsia="zh-CN"/>
              </w:rPr>
              <w:t>备注：每个检查组应至少抽取</w:t>
            </w:r>
            <w:r>
              <w:rPr>
                <w:rFonts w:hint="eastAsia" w:ascii="楷体_GB2312" w:hAnsi="楷体_GB2312" w:eastAsia="楷体_GB2312" w:cs="楷体_GB2312"/>
                <w:color w:val="auto"/>
                <w:sz w:val="24"/>
                <w:highlight w:val="none"/>
                <w:u w:val="none"/>
                <w:lang w:val="en-US" w:eastAsia="zh-CN"/>
              </w:rPr>
              <w:t>1个“投建营”或EPC项目进行招标文件检查。</w:t>
            </w:r>
          </w:p>
        </w:tc>
      </w:tr>
      <w:tr w14:paraId="57B3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1" w:type="dxa"/>
            <w:vMerge w:val="restart"/>
            <w:noWrap w:val="0"/>
            <w:vAlign w:val="center"/>
          </w:tcPr>
          <w:p w14:paraId="41D5D7E7">
            <w:pPr>
              <w:spacing w:line="32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w:t>
            </w:r>
          </w:p>
        </w:tc>
        <w:tc>
          <w:tcPr>
            <w:tcW w:w="1261" w:type="dxa"/>
            <w:vMerge w:val="restart"/>
            <w:noWrap w:val="0"/>
            <w:vAlign w:val="center"/>
          </w:tcPr>
          <w:p w14:paraId="03D11262">
            <w:pPr>
              <w:adjustRightInd w:val="0"/>
              <w:snapToGrid w:val="0"/>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关键人员履职监管</w:t>
            </w:r>
          </w:p>
          <w:p w14:paraId="71170871">
            <w:pPr>
              <w:adjustRightInd w:val="0"/>
              <w:snapToGrid w:val="0"/>
              <w:spacing w:line="32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分）</w:t>
            </w:r>
          </w:p>
        </w:tc>
        <w:tc>
          <w:tcPr>
            <w:tcW w:w="7087" w:type="dxa"/>
            <w:noWrap w:val="0"/>
            <w:vAlign w:val="center"/>
          </w:tcPr>
          <w:p w14:paraId="4C2A2EE2">
            <w:pPr>
              <w:adjustRightInd w:val="0"/>
              <w:snapToGrid w:val="0"/>
              <w:spacing w:line="320" w:lineRule="exac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2024年查处</w:t>
            </w:r>
            <w:r>
              <w:rPr>
                <w:rFonts w:hint="eastAsia" w:ascii="仿宋_GB2312" w:hAnsi="仿宋_GB2312" w:eastAsia="仿宋_GB2312" w:cs="仿宋_GB2312"/>
                <w:color w:val="auto"/>
                <w:sz w:val="24"/>
                <w:lang w:eastAsia="zh-CN"/>
              </w:rPr>
              <w:t>关键岗位人员</w:t>
            </w:r>
            <w:r>
              <w:rPr>
                <w:rFonts w:hint="eastAsia" w:ascii="仿宋_GB2312" w:hAnsi="仿宋_GB2312" w:eastAsia="仿宋_GB2312" w:cs="仿宋_GB2312"/>
                <w:color w:val="auto"/>
                <w:sz w:val="24"/>
              </w:rPr>
              <w:t>“履职缺位”</w:t>
            </w:r>
            <w:r>
              <w:rPr>
                <w:rFonts w:hint="eastAsia" w:ascii="仿宋_GB2312" w:hAnsi="仿宋_GB2312" w:eastAsia="仿宋_GB2312" w:cs="仿宋_GB2312"/>
                <w:color w:val="auto"/>
                <w:sz w:val="24"/>
                <w:lang w:eastAsia="zh-CN"/>
              </w:rPr>
              <w:t>违法责任人数</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highlight w:val="none"/>
                <w:lang w:val="en-US" w:eastAsia="zh-CN"/>
              </w:rPr>
              <w:t>2024年第四季度辖区应考评项目数，占比高的前5名依次得5、4、3、2、1分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14:paraId="49F2887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kern w:val="2"/>
                <w:sz w:val="24"/>
                <w:szCs w:val="24"/>
                <w:lang w:val="en-US" w:eastAsia="zh-CN" w:bidi="ar-SA"/>
              </w:rPr>
            </w:pPr>
          </w:p>
        </w:tc>
      </w:tr>
      <w:tr w14:paraId="458D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441" w:type="dxa"/>
            <w:vMerge w:val="continue"/>
            <w:noWrap w:val="0"/>
            <w:vAlign w:val="center"/>
          </w:tcPr>
          <w:p w14:paraId="53365134">
            <w:pPr>
              <w:adjustRightInd w:val="0"/>
              <w:snapToGrid w:val="0"/>
              <w:spacing w:line="320" w:lineRule="exact"/>
              <w:rPr>
                <w:rFonts w:ascii="Times New Roman" w:hAnsi="Times New Roman" w:eastAsia="宋体" w:cs="Times New Roman"/>
                <w:color w:val="auto"/>
                <w:sz w:val="21"/>
              </w:rPr>
            </w:pPr>
          </w:p>
        </w:tc>
        <w:tc>
          <w:tcPr>
            <w:tcW w:w="1261" w:type="dxa"/>
            <w:vMerge w:val="continue"/>
            <w:noWrap w:val="0"/>
            <w:vAlign w:val="center"/>
          </w:tcPr>
          <w:p w14:paraId="1B15202A">
            <w:pPr>
              <w:adjustRightInd w:val="0"/>
              <w:snapToGrid w:val="0"/>
              <w:spacing w:line="320" w:lineRule="exact"/>
              <w:rPr>
                <w:rFonts w:ascii="Times New Roman" w:hAnsi="Times New Roman" w:eastAsia="宋体" w:cs="Times New Roman"/>
                <w:color w:val="auto"/>
                <w:sz w:val="21"/>
              </w:rPr>
            </w:pPr>
          </w:p>
        </w:tc>
        <w:tc>
          <w:tcPr>
            <w:tcW w:w="7087" w:type="dxa"/>
            <w:noWrap w:val="0"/>
            <w:vAlign w:val="center"/>
          </w:tcPr>
          <w:p w14:paraId="4BDF0F73">
            <w:pPr>
              <w:adjustRightInd w:val="0"/>
              <w:snapToGrid w:val="0"/>
              <w:spacing w:line="320" w:lineRule="exac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（2）2024年</w:t>
            </w:r>
            <w:r>
              <w:rPr>
                <w:rFonts w:hint="eastAsia" w:ascii="仿宋_GB2312" w:hAnsi="仿宋_GB2312" w:eastAsia="仿宋_GB2312" w:cs="仿宋_GB2312"/>
                <w:color w:val="auto"/>
                <w:sz w:val="24"/>
                <w:lang w:eastAsia="zh-CN"/>
              </w:rPr>
              <w:t>对实名制弄虚作假情形给予履约评价记分次数</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highlight w:val="none"/>
                <w:lang w:val="en-US" w:eastAsia="zh-CN"/>
              </w:rPr>
              <w:t>2024年第四季度辖区应考评项目数，占比高的前5名依次得5、4、3、2、1分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14:paraId="6F0771D5">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auto"/>
                <w:sz w:val="24"/>
                <w:lang w:eastAsia="zh-CN"/>
              </w:rPr>
            </w:pPr>
          </w:p>
        </w:tc>
      </w:tr>
      <w:tr w14:paraId="18B2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441" w:type="dxa"/>
            <w:vMerge w:val="restart"/>
            <w:noWrap w:val="0"/>
            <w:vAlign w:val="center"/>
          </w:tcPr>
          <w:p w14:paraId="45192502">
            <w:pPr>
              <w:spacing w:line="32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4</w:t>
            </w:r>
          </w:p>
        </w:tc>
        <w:tc>
          <w:tcPr>
            <w:tcW w:w="1261" w:type="dxa"/>
            <w:vMerge w:val="restart"/>
            <w:noWrap w:val="0"/>
            <w:vAlign w:val="center"/>
          </w:tcPr>
          <w:p w14:paraId="0AC129A7">
            <w:pPr>
              <w:adjustRightInd w:val="0"/>
              <w:snapToGrid w:val="0"/>
              <w:spacing w:line="32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检查执法工作效能</w:t>
            </w:r>
          </w:p>
          <w:p w14:paraId="6958FC40">
            <w:pPr>
              <w:adjustRightInd w:val="0"/>
              <w:snapToGrid w:val="0"/>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25</w:t>
            </w:r>
            <w:r>
              <w:rPr>
                <w:rFonts w:hint="eastAsia" w:ascii="仿宋_GB2312" w:hAnsi="仿宋_GB2312" w:eastAsia="仿宋_GB2312" w:cs="仿宋_GB2312"/>
                <w:color w:val="auto"/>
                <w:sz w:val="24"/>
              </w:rPr>
              <w:t>分）</w:t>
            </w:r>
          </w:p>
        </w:tc>
        <w:tc>
          <w:tcPr>
            <w:tcW w:w="7087" w:type="dxa"/>
            <w:noWrap w:val="0"/>
            <w:vAlign w:val="center"/>
          </w:tcPr>
          <w:p w14:paraId="22A6D8A8">
            <w:pPr>
              <w:adjustRightInd w:val="0"/>
              <w:snapToGrid w:val="0"/>
              <w:spacing w:line="320" w:lineRule="exact"/>
              <w:rPr>
                <w:rFonts w:hint="default" w:ascii="仿宋_GB2312" w:hAnsi="仿宋_GB2312" w:eastAsia="仿宋_GB2312" w:cs="仿宋_GB2312"/>
                <w:color w:val="FF0000"/>
                <w:sz w:val="24"/>
                <w:u w:val="single"/>
                <w:lang w:val="en-US"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lang w:eastAsia="zh-CN"/>
              </w:rPr>
              <w:t>）202</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年查处转包、挂靠、违法分包行为的宗数</w:t>
            </w:r>
            <w:r>
              <w:rPr>
                <w:rFonts w:hint="eastAsia" w:ascii="仿宋_GB2312" w:hAnsi="仿宋_GB2312" w:eastAsia="仿宋_GB2312" w:cs="仿宋_GB2312"/>
                <w:color w:val="auto"/>
                <w:sz w:val="24"/>
                <w:highlight w:val="none"/>
                <w:lang w:val="en-US" w:eastAsia="zh-CN"/>
              </w:rPr>
              <w:t>/2024年第四季度辖区应考评项目数，占比高的前5名依次得5、4、3、2、1分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14:paraId="4484844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lang w:eastAsia="zh-CN"/>
              </w:rPr>
            </w:pPr>
          </w:p>
        </w:tc>
      </w:tr>
      <w:tr w14:paraId="1D7E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41" w:type="dxa"/>
            <w:vMerge w:val="continue"/>
            <w:noWrap w:val="0"/>
            <w:vAlign w:val="center"/>
          </w:tcPr>
          <w:p w14:paraId="0F65D707">
            <w:pPr>
              <w:adjustRightInd w:val="0"/>
              <w:snapToGrid w:val="0"/>
              <w:spacing w:line="320" w:lineRule="exact"/>
              <w:rPr>
                <w:rFonts w:ascii="Times New Roman" w:hAnsi="Times New Roman" w:eastAsia="宋体" w:cs="Times New Roman"/>
                <w:color w:val="auto"/>
                <w:sz w:val="21"/>
              </w:rPr>
            </w:pPr>
          </w:p>
        </w:tc>
        <w:tc>
          <w:tcPr>
            <w:tcW w:w="1261" w:type="dxa"/>
            <w:vMerge w:val="continue"/>
            <w:noWrap w:val="0"/>
            <w:vAlign w:val="center"/>
          </w:tcPr>
          <w:p w14:paraId="7202F697">
            <w:pPr>
              <w:adjustRightInd w:val="0"/>
              <w:snapToGrid w:val="0"/>
              <w:spacing w:line="320" w:lineRule="exact"/>
              <w:rPr>
                <w:rFonts w:ascii="Times New Roman" w:hAnsi="Times New Roman" w:eastAsia="宋体" w:cs="Times New Roman"/>
                <w:color w:val="auto"/>
                <w:sz w:val="21"/>
              </w:rPr>
            </w:pPr>
          </w:p>
        </w:tc>
        <w:tc>
          <w:tcPr>
            <w:tcW w:w="7087" w:type="dxa"/>
            <w:noWrap w:val="0"/>
            <w:vAlign w:val="center"/>
          </w:tcPr>
          <w:p w14:paraId="26CF2170">
            <w:pPr>
              <w:adjustRightInd w:val="0"/>
              <w:snapToGrid w:val="0"/>
              <w:spacing w:line="320" w:lineRule="exact"/>
              <w:rPr>
                <w:rFonts w:hint="eastAsia" w:ascii="仿宋_GB2312" w:hAnsi="仿宋_GB2312" w:eastAsia="仿宋_GB2312" w:cs="仿宋_GB2312"/>
                <w:color w:val="FF0000"/>
                <w:sz w:val="24"/>
                <w:highlight w:val="none"/>
                <w:u w:val="singl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）202</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年查处肢解发包、“应招未招”等违法发包行为的宗数</w:t>
            </w:r>
            <w:r>
              <w:rPr>
                <w:rFonts w:hint="eastAsia" w:ascii="仿宋_GB2312" w:hAnsi="仿宋_GB2312" w:eastAsia="仿宋_GB2312" w:cs="仿宋_GB2312"/>
                <w:color w:val="auto"/>
                <w:sz w:val="24"/>
                <w:highlight w:val="none"/>
                <w:lang w:val="en-US" w:eastAsia="zh-CN"/>
              </w:rPr>
              <w:t>/2024年第四季度辖区应考评项目数，占比高的前5名依次得5、4、3、2、1分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14:paraId="1023BE9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highlight w:val="none"/>
                <w:lang w:eastAsia="zh-CN"/>
              </w:rPr>
            </w:pPr>
          </w:p>
        </w:tc>
      </w:tr>
      <w:tr w14:paraId="6142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441" w:type="dxa"/>
            <w:vMerge w:val="continue"/>
            <w:noWrap w:val="0"/>
            <w:vAlign w:val="center"/>
          </w:tcPr>
          <w:p w14:paraId="16A9F653">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1261" w:type="dxa"/>
            <w:vMerge w:val="continue"/>
            <w:noWrap w:val="0"/>
            <w:vAlign w:val="center"/>
          </w:tcPr>
          <w:p w14:paraId="59551C90">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7087" w:type="dxa"/>
            <w:noWrap w:val="0"/>
            <w:vAlign w:val="center"/>
          </w:tcPr>
          <w:p w14:paraId="230E63AA">
            <w:pPr>
              <w:adjustRightInd w:val="0"/>
              <w:snapToGrid w:val="0"/>
              <w:spacing w:line="320" w:lineRule="exact"/>
              <w:rPr>
                <w:rFonts w:hint="eastAsia" w:ascii="仿宋_GB2312" w:hAnsi="仿宋_GB2312" w:eastAsia="仿宋_GB2312" w:cs="仿宋_GB2312"/>
                <w:color w:val="FF0000"/>
                <w:sz w:val="24"/>
                <w:highlight w:val="none"/>
                <w:u w:val="singl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lang w:eastAsia="zh-CN"/>
              </w:rPr>
              <w:t>）202</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年查处围标串违法行为的项目数</w:t>
            </w:r>
            <w:r>
              <w:rPr>
                <w:rFonts w:hint="eastAsia" w:ascii="仿宋_GB2312" w:hAnsi="仿宋_GB2312" w:eastAsia="仿宋_GB2312" w:cs="仿宋_GB2312"/>
                <w:color w:val="auto"/>
                <w:sz w:val="24"/>
                <w:highlight w:val="none"/>
                <w:lang w:val="en-US" w:eastAsia="zh-CN"/>
              </w:rPr>
              <w:t>/2024年第四季度辖区应考评项目数，占比高的前5名依次得5、4、3、2、1分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14:paraId="59E3C1E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highlight w:val="none"/>
                <w:lang w:eastAsia="zh-CN"/>
              </w:rPr>
            </w:pPr>
          </w:p>
        </w:tc>
      </w:tr>
      <w:tr w14:paraId="49E3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441" w:type="dxa"/>
            <w:vMerge w:val="continue"/>
            <w:noWrap w:val="0"/>
            <w:vAlign w:val="center"/>
          </w:tcPr>
          <w:p w14:paraId="3A9BB89C">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1261" w:type="dxa"/>
            <w:vMerge w:val="continue"/>
            <w:noWrap w:val="0"/>
            <w:vAlign w:val="center"/>
          </w:tcPr>
          <w:p w14:paraId="3113AB57">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7087" w:type="dxa"/>
            <w:noWrap w:val="0"/>
            <w:vAlign w:val="center"/>
          </w:tcPr>
          <w:p w14:paraId="5F8268EF">
            <w:pPr>
              <w:adjustRightInd w:val="0"/>
              <w:snapToGrid w:val="0"/>
              <w:spacing w:line="32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2024</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eastAsia="zh-CN"/>
              </w:rPr>
              <w:t>查处工程安全违法行为的宗数</w:t>
            </w:r>
            <w:r>
              <w:rPr>
                <w:rFonts w:hint="eastAsia" w:ascii="仿宋_GB2312" w:hAnsi="仿宋_GB2312" w:eastAsia="仿宋_GB2312" w:cs="仿宋_GB2312"/>
                <w:color w:val="auto"/>
                <w:sz w:val="24"/>
                <w:highlight w:val="none"/>
                <w:lang w:val="en-US" w:eastAsia="zh-CN"/>
              </w:rPr>
              <w:t>/2024年第四季度辖区应考评项目数，占比高的前5名依次得5、4、3、2、1分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14:paraId="604620D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highlight w:val="none"/>
                <w:lang w:eastAsia="zh-CN"/>
              </w:rPr>
            </w:pPr>
          </w:p>
        </w:tc>
      </w:tr>
      <w:tr w14:paraId="4AD5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441" w:type="dxa"/>
            <w:vMerge w:val="continue"/>
            <w:noWrap w:val="0"/>
            <w:vAlign w:val="center"/>
          </w:tcPr>
          <w:p w14:paraId="62C8B7DD">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1261" w:type="dxa"/>
            <w:vMerge w:val="continue"/>
            <w:noWrap w:val="0"/>
            <w:vAlign w:val="center"/>
          </w:tcPr>
          <w:p w14:paraId="0350878B">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7087" w:type="dxa"/>
            <w:noWrap w:val="0"/>
            <w:vAlign w:val="center"/>
          </w:tcPr>
          <w:p w14:paraId="344C37C5">
            <w:pPr>
              <w:adjustRightInd w:val="0"/>
              <w:snapToGrid w:val="0"/>
              <w:spacing w:line="32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2024</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eastAsia="zh-CN"/>
              </w:rPr>
              <w:t>查处工程质量检测违法行为的宗数</w:t>
            </w:r>
            <w:r>
              <w:rPr>
                <w:rFonts w:hint="eastAsia" w:ascii="仿宋_GB2312" w:hAnsi="仿宋_GB2312" w:eastAsia="仿宋_GB2312" w:cs="仿宋_GB2312"/>
                <w:color w:val="auto"/>
                <w:sz w:val="24"/>
                <w:highlight w:val="none"/>
                <w:lang w:val="en-US" w:eastAsia="zh-CN"/>
              </w:rPr>
              <w:t>/2024年第四季度辖区应考评项目数，占比高的前5名依次得5、4、3、2、1分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14:paraId="7838765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highlight w:val="none"/>
                <w:lang w:eastAsia="zh-CN"/>
              </w:rPr>
            </w:pPr>
          </w:p>
        </w:tc>
      </w:tr>
      <w:tr w14:paraId="2E9F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441" w:type="dxa"/>
            <w:vMerge w:val="restart"/>
            <w:noWrap w:val="0"/>
            <w:vAlign w:val="center"/>
          </w:tcPr>
          <w:p w14:paraId="55C4FB44">
            <w:pPr>
              <w:spacing w:line="32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5</w:t>
            </w:r>
          </w:p>
        </w:tc>
        <w:tc>
          <w:tcPr>
            <w:tcW w:w="1261" w:type="dxa"/>
            <w:vMerge w:val="restart"/>
            <w:noWrap w:val="0"/>
            <w:vAlign w:val="center"/>
          </w:tcPr>
          <w:p w14:paraId="18B9328C">
            <w:pPr>
              <w:adjustRightInd w:val="0"/>
              <w:snapToGrid w:val="0"/>
              <w:spacing w:line="32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eastAsia="zh-CN"/>
              </w:rPr>
              <w:t>文明施工监督管理</w:t>
            </w: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分）</w:t>
            </w:r>
          </w:p>
        </w:tc>
        <w:tc>
          <w:tcPr>
            <w:tcW w:w="7087" w:type="dxa"/>
            <w:noWrap w:val="0"/>
            <w:vAlign w:val="center"/>
          </w:tcPr>
          <w:p w14:paraId="44285CD0">
            <w:pPr>
              <w:adjustRightInd w:val="0"/>
              <w:snapToGrid w:val="0"/>
              <w:spacing w:line="320" w:lineRule="exac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1</w:t>
            </w:r>
            <w:r>
              <w:rPr>
                <w:rFonts w:hint="eastAsia" w:ascii="仿宋_GB2312" w:hAnsi="仿宋_GB2312" w:eastAsia="仿宋_GB2312" w:cs="仿宋_GB2312"/>
                <w:color w:val="auto"/>
                <w:sz w:val="24"/>
                <w:highlight w:val="none"/>
                <w:u w:val="none"/>
                <w:lang w:eastAsia="zh-CN"/>
              </w:rPr>
              <w:t>）202</w:t>
            </w:r>
            <w:r>
              <w:rPr>
                <w:rFonts w:hint="eastAsia" w:ascii="仿宋_GB2312" w:hAnsi="仿宋_GB2312" w:eastAsia="仿宋_GB2312" w:cs="仿宋_GB2312"/>
                <w:color w:val="auto"/>
                <w:sz w:val="24"/>
                <w:highlight w:val="none"/>
                <w:u w:val="none"/>
                <w:lang w:val="en-US" w:eastAsia="zh-CN"/>
              </w:rPr>
              <w:t>4</w:t>
            </w:r>
            <w:r>
              <w:rPr>
                <w:rFonts w:hint="eastAsia" w:ascii="仿宋_GB2312" w:hAnsi="仿宋_GB2312" w:eastAsia="仿宋_GB2312" w:cs="仿宋_GB2312"/>
                <w:color w:val="auto"/>
                <w:sz w:val="24"/>
                <w:highlight w:val="none"/>
                <w:u w:val="none"/>
                <w:lang w:eastAsia="zh-CN"/>
              </w:rPr>
              <w:t>年查处文明施工违法行为（扬尘）的宗数</w:t>
            </w:r>
            <w:r>
              <w:rPr>
                <w:rFonts w:hint="eastAsia" w:ascii="仿宋_GB2312" w:hAnsi="仿宋_GB2312" w:eastAsia="仿宋_GB2312" w:cs="仿宋_GB2312"/>
                <w:color w:val="auto"/>
                <w:sz w:val="24"/>
                <w:highlight w:val="none"/>
                <w:u w:val="none"/>
                <w:lang w:val="en-US" w:eastAsia="zh-CN"/>
              </w:rPr>
              <w:t>/2024年第四季度辖区应考评项目数，占比高的前3名依次得3、2、1分</w:t>
            </w:r>
            <w:r>
              <w:rPr>
                <w:rFonts w:hint="eastAsia" w:ascii="仿宋_GB2312" w:hAnsi="仿宋_GB2312" w:eastAsia="仿宋_GB2312" w:cs="仿宋_GB2312"/>
                <w:color w:val="auto"/>
                <w:sz w:val="24"/>
                <w:highlight w:val="none"/>
                <w:u w:val="none"/>
                <w:lang w:eastAsia="zh-CN"/>
              </w:rPr>
              <w:t>，其余不得分。</w:t>
            </w:r>
          </w:p>
        </w:tc>
        <w:tc>
          <w:tcPr>
            <w:tcW w:w="1189" w:type="dxa"/>
            <w:noWrap w:val="0"/>
            <w:vAlign w:val="center"/>
          </w:tcPr>
          <w:p w14:paraId="0A8DE27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r>
      <w:tr w14:paraId="7F49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441" w:type="dxa"/>
            <w:vMerge w:val="continue"/>
            <w:noWrap w:val="0"/>
            <w:vAlign w:val="center"/>
          </w:tcPr>
          <w:p w14:paraId="1F4FB3E5">
            <w:pPr>
              <w:adjustRightInd w:val="0"/>
              <w:snapToGrid w:val="0"/>
              <w:spacing w:line="320" w:lineRule="exact"/>
              <w:rPr>
                <w:rFonts w:ascii="Times New Roman" w:hAnsi="Times New Roman" w:eastAsia="宋体" w:cs="Times New Roman"/>
                <w:color w:val="auto"/>
                <w:sz w:val="21"/>
              </w:rPr>
            </w:pPr>
          </w:p>
        </w:tc>
        <w:tc>
          <w:tcPr>
            <w:tcW w:w="1261" w:type="dxa"/>
            <w:vMerge w:val="continue"/>
            <w:noWrap w:val="0"/>
            <w:vAlign w:val="center"/>
          </w:tcPr>
          <w:p w14:paraId="337377C7">
            <w:pPr>
              <w:adjustRightInd w:val="0"/>
              <w:snapToGrid w:val="0"/>
              <w:spacing w:line="320" w:lineRule="exact"/>
              <w:rPr>
                <w:rFonts w:ascii="Times New Roman" w:hAnsi="Times New Roman" w:eastAsia="宋体" w:cs="Times New Roman"/>
                <w:color w:val="auto"/>
                <w:sz w:val="21"/>
              </w:rPr>
            </w:pPr>
          </w:p>
        </w:tc>
        <w:tc>
          <w:tcPr>
            <w:tcW w:w="7087" w:type="dxa"/>
            <w:noWrap w:val="0"/>
            <w:vAlign w:val="center"/>
          </w:tcPr>
          <w:p w14:paraId="654E9EA4">
            <w:pPr>
              <w:adjustRightInd w:val="0"/>
              <w:snapToGrid w:val="0"/>
              <w:spacing w:line="320" w:lineRule="exact"/>
              <w:rPr>
                <w:rFonts w:hint="default"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2</w:t>
            </w:r>
            <w:r>
              <w:rPr>
                <w:rFonts w:hint="eastAsia" w:ascii="仿宋_GB2312" w:hAnsi="仿宋_GB2312" w:eastAsia="仿宋_GB2312" w:cs="仿宋_GB2312"/>
                <w:color w:val="auto"/>
                <w:sz w:val="24"/>
                <w:highlight w:val="none"/>
                <w:u w:val="none"/>
                <w:lang w:eastAsia="zh-CN"/>
              </w:rPr>
              <w:t>）受检项目建筑工地围挡整治和公益广告宣传落实情况，</w:t>
            </w:r>
            <w:r>
              <w:rPr>
                <w:rFonts w:hint="eastAsia" w:ascii="仿宋_GB2312" w:hAnsi="仿宋_GB2312" w:eastAsia="仿宋_GB2312" w:cs="仿宋_GB2312"/>
                <w:color w:val="auto"/>
                <w:sz w:val="24"/>
                <w:highlight w:val="none"/>
                <w:u w:val="none"/>
                <w:lang w:val="en-US" w:eastAsia="zh-CN"/>
              </w:rPr>
              <w:t>2分。</w:t>
            </w:r>
          </w:p>
        </w:tc>
        <w:tc>
          <w:tcPr>
            <w:tcW w:w="1189" w:type="dxa"/>
            <w:noWrap w:val="0"/>
            <w:vAlign w:val="center"/>
          </w:tcPr>
          <w:p w14:paraId="659CD31B">
            <w:pPr>
              <w:adjustRightInd w:val="0"/>
              <w:snapToGrid w:val="0"/>
              <w:spacing w:line="320" w:lineRule="exact"/>
              <w:rPr>
                <w:rFonts w:hint="eastAsia" w:ascii="仿宋_GB2312" w:hAnsi="仿宋_GB2312" w:eastAsia="仿宋_GB2312" w:cs="仿宋_GB2312"/>
                <w:color w:val="auto"/>
                <w:sz w:val="24"/>
                <w:highlight w:val="none"/>
                <w:u w:val="single"/>
                <w:lang w:eastAsia="zh-CN"/>
              </w:rPr>
            </w:pPr>
          </w:p>
        </w:tc>
      </w:tr>
      <w:tr w14:paraId="4167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978" w:type="dxa"/>
            <w:gridSpan w:val="4"/>
            <w:noWrap w:val="0"/>
            <w:vAlign w:val="center"/>
          </w:tcPr>
          <w:p w14:paraId="31129645">
            <w:pPr>
              <w:adjustRightInd w:val="0"/>
              <w:snapToGrid w:val="0"/>
              <w:spacing w:line="320" w:lineRule="exact"/>
              <w:jc w:val="center"/>
              <w:rPr>
                <w:rFonts w:hint="eastAsia" w:ascii="仿宋_GB2312" w:hAnsi="仿宋_GB2312" w:eastAsia="仿宋_GB2312" w:cs="仿宋_GB2312"/>
                <w:color w:val="auto"/>
                <w:sz w:val="24"/>
                <w:highlight w:val="none"/>
              </w:rPr>
            </w:pPr>
            <w:r>
              <w:rPr>
                <w:rFonts w:hint="eastAsia" w:ascii="黑体" w:hAnsi="黑体" w:eastAsia="黑体" w:cs="黑体"/>
                <w:color w:val="auto"/>
                <w:sz w:val="24"/>
                <w:highlight w:val="none"/>
                <w:lang w:eastAsia="zh-CN"/>
              </w:rPr>
              <w:t>二</w:t>
            </w:r>
            <w:r>
              <w:rPr>
                <w:rFonts w:hint="eastAsia" w:ascii="黑体" w:hAnsi="黑体" w:eastAsia="黑体" w:cs="黑体"/>
                <w:color w:val="auto"/>
                <w:sz w:val="24"/>
                <w:highlight w:val="none"/>
              </w:rPr>
              <w:t>、扣分项</w:t>
            </w:r>
          </w:p>
        </w:tc>
      </w:tr>
      <w:tr w14:paraId="7222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441" w:type="dxa"/>
            <w:noWrap w:val="0"/>
            <w:vAlign w:val="center"/>
          </w:tcPr>
          <w:p w14:paraId="0BF0400E">
            <w:pPr>
              <w:spacing w:line="32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6</w:t>
            </w:r>
          </w:p>
        </w:tc>
        <w:tc>
          <w:tcPr>
            <w:tcW w:w="1261" w:type="dxa"/>
            <w:noWrap w:val="0"/>
            <w:vAlign w:val="center"/>
          </w:tcPr>
          <w:p w14:paraId="6C44FC76">
            <w:pPr>
              <w:adjustRightInd w:val="0"/>
              <w:snapToGrid w:val="0"/>
              <w:spacing w:line="32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各级督查问题整改处理情况</w:t>
            </w:r>
          </w:p>
        </w:tc>
        <w:tc>
          <w:tcPr>
            <w:tcW w:w="7087" w:type="dxa"/>
            <w:noWrap w:val="0"/>
            <w:vAlign w:val="center"/>
          </w:tcPr>
          <w:p w14:paraId="33EBCF34">
            <w:pPr>
              <w:adjustRightInd w:val="0"/>
              <w:snapToGrid w:val="0"/>
              <w:spacing w:line="3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未落实国家、省级检查发现问题整改或处理的，每1起扣</w:t>
            </w:r>
            <w:r>
              <w:rPr>
                <w:rFonts w:hint="eastAsia" w:ascii="仿宋_GB2312" w:hAnsi="仿宋_GB2312" w:eastAsia="仿宋_GB2312" w:cs="仿宋_GB2312"/>
                <w:color w:val="auto"/>
                <w:sz w:val="24"/>
                <w:highlight w:val="none"/>
                <w:lang w:val="en-US" w:eastAsia="zh-CN"/>
              </w:rPr>
              <w:t>10</w:t>
            </w:r>
            <w:r>
              <w:rPr>
                <w:rFonts w:hint="eastAsia" w:ascii="仿宋_GB2312" w:hAnsi="仿宋_GB2312" w:eastAsia="仿宋_GB2312" w:cs="仿宋_GB2312"/>
                <w:color w:val="auto"/>
                <w:sz w:val="24"/>
                <w:highlight w:val="none"/>
              </w:rPr>
              <w:t>分（由建筑业科、</w:t>
            </w:r>
            <w:r>
              <w:rPr>
                <w:rFonts w:hint="eastAsia" w:ascii="仿宋_GB2312" w:hAnsi="仿宋_GB2312" w:eastAsia="仿宋_GB2312" w:cs="仿宋_GB2312"/>
                <w:color w:val="auto"/>
                <w:sz w:val="24"/>
                <w:highlight w:val="none"/>
                <w:lang w:eastAsia="zh-CN"/>
              </w:rPr>
              <w:t>工程管理科</w:t>
            </w:r>
            <w:r>
              <w:rPr>
                <w:rFonts w:hint="eastAsia" w:ascii="仿宋_GB2312" w:hAnsi="仿宋_GB2312" w:eastAsia="仿宋_GB2312" w:cs="仿宋_GB2312"/>
                <w:color w:val="auto"/>
                <w:sz w:val="24"/>
                <w:highlight w:val="none"/>
              </w:rPr>
              <w:t>对口扣分）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未落实市级检查发现问题整改或处理的（含执法建议交办），每1起扣</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分（由建筑业科、</w:t>
            </w:r>
            <w:r>
              <w:rPr>
                <w:rFonts w:hint="eastAsia" w:ascii="仿宋_GB2312" w:hAnsi="仿宋_GB2312" w:eastAsia="仿宋_GB2312" w:cs="仿宋_GB2312"/>
                <w:color w:val="auto"/>
                <w:sz w:val="24"/>
                <w:highlight w:val="none"/>
                <w:lang w:eastAsia="zh-CN"/>
              </w:rPr>
              <w:t>工程管理科</w:t>
            </w:r>
            <w:r>
              <w:rPr>
                <w:rFonts w:hint="eastAsia" w:ascii="仿宋_GB2312" w:hAnsi="仿宋_GB2312" w:eastAsia="仿宋_GB2312" w:cs="仿宋_GB2312"/>
                <w:color w:val="auto"/>
                <w:sz w:val="24"/>
                <w:highlight w:val="none"/>
              </w:rPr>
              <w:t>对口扣分）。</w:t>
            </w:r>
          </w:p>
        </w:tc>
        <w:tc>
          <w:tcPr>
            <w:tcW w:w="1189" w:type="dxa"/>
            <w:noWrap w:val="0"/>
            <w:vAlign w:val="center"/>
          </w:tcPr>
          <w:p w14:paraId="31904A95">
            <w:pPr>
              <w:adjustRightInd w:val="0"/>
              <w:snapToGrid w:val="0"/>
              <w:spacing w:line="320" w:lineRule="exact"/>
              <w:jc w:val="center"/>
              <w:rPr>
                <w:rFonts w:hint="eastAsia" w:ascii="仿宋_GB2312" w:hAnsi="仿宋_GB2312" w:eastAsia="仿宋_GB2312" w:cs="仿宋_GB2312"/>
                <w:color w:val="auto"/>
                <w:sz w:val="24"/>
                <w:highlight w:val="none"/>
              </w:rPr>
            </w:pPr>
          </w:p>
        </w:tc>
      </w:tr>
      <w:tr w14:paraId="3D20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441" w:type="dxa"/>
            <w:noWrap w:val="0"/>
            <w:vAlign w:val="center"/>
          </w:tcPr>
          <w:p w14:paraId="2A5283D4">
            <w:pPr>
              <w:spacing w:line="320" w:lineRule="exact"/>
              <w:jc w:val="center"/>
              <w:rPr>
                <w:rFonts w:hint="default"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7</w:t>
            </w:r>
          </w:p>
        </w:tc>
        <w:tc>
          <w:tcPr>
            <w:tcW w:w="1261" w:type="dxa"/>
            <w:noWrap w:val="0"/>
            <w:vAlign w:val="center"/>
          </w:tcPr>
          <w:p w14:paraId="25B2CF07">
            <w:pPr>
              <w:adjustRightInd w:val="0"/>
              <w:snapToGrid w:val="0"/>
              <w:spacing w:line="320" w:lineRule="exact"/>
              <w:jc w:val="center"/>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lang w:eastAsia="zh-CN"/>
              </w:rPr>
              <w:t>受检地区检查情况</w:t>
            </w:r>
          </w:p>
        </w:tc>
        <w:tc>
          <w:tcPr>
            <w:tcW w:w="7087" w:type="dxa"/>
            <w:noWrap w:val="0"/>
            <w:vAlign w:val="center"/>
          </w:tcPr>
          <w:p w14:paraId="0FD8A3C2">
            <w:pPr>
              <w:adjustRightInd w:val="0"/>
              <w:snapToGrid w:val="0"/>
              <w:spacing w:line="320" w:lineRule="exact"/>
              <w:rPr>
                <w:rFonts w:hint="default"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eastAsia="zh-CN"/>
              </w:rPr>
              <w:t>①受检项目关键岗位人员（项目经理、项目技术负责人、安全员、总监）存在长期不在岗履职的，每一人扣</w:t>
            </w:r>
            <w:r>
              <w:rPr>
                <w:rFonts w:hint="eastAsia" w:ascii="仿宋_GB2312" w:hAnsi="仿宋_GB2312" w:eastAsia="仿宋_GB2312" w:cs="仿宋_GB2312"/>
                <w:color w:val="auto"/>
                <w:sz w:val="24"/>
                <w:highlight w:val="none"/>
                <w:u w:val="none"/>
                <w:lang w:val="en-US" w:eastAsia="zh-CN"/>
              </w:rPr>
              <w:t>2</w:t>
            </w:r>
            <w:r>
              <w:rPr>
                <w:rFonts w:hint="eastAsia" w:ascii="仿宋_GB2312" w:hAnsi="仿宋_GB2312" w:eastAsia="仿宋_GB2312" w:cs="仿宋_GB2312"/>
                <w:color w:val="auto"/>
                <w:sz w:val="24"/>
                <w:highlight w:val="none"/>
                <w:u w:val="none"/>
                <w:lang w:eastAsia="zh-CN"/>
              </w:rPr>
              <w:t>分。②受检项目存在重大事故隐患的，每发现1条扣3分。③受检项目未落实“安全日志”制度的，每发现1个项目扣1分（格式不符、内容不属实的，视同未落实）。④受检项目未落实动态风险考评结果告示制度的（考评日期应为第四季度，否则视同未落实），每发现1个项目扣1分。⑤受检项目未落实“一机一码”制度的（扫码后未显示相关检查、维保记录或相关记录与实际情况不符的，视同未落实），1个项目扣2分。⑥经监督抽测，受检项目主要受力构件（节点）芯样混凝土强度低于设计强度标准值的，发现1个项目扣3分。⑦</w:t>
            </w:r>
            <w:r>
              <w:rPr>
                <w:rFonts w:hint="eastAsia" w:ascii="仿宋_GB2312" w:hAnsi="仿宋_GB2312" w:eastAsia="仿宋_GB2312" w:cs="仿宋_GB2312"/>
                <w:color w:val="auto"/>
                <w:sz w:val="24"/>
                <w:u w:val="none"/>
                <w:lang w:val="en-US" w:eastAsia="zh-CN"/>
              </w:rPr>
              <w:t>安全检查系统完成率（</w:t>
            </w:r>
            <w:r>
              <w:rPr>
                <w:rFonts w:hint="eastAsia" w:ascii="仿宋_GB2312" w:hAnsi="仿宋_GB2312" w:eastAsia="仿宋_GB2312" w:cs="仿宋_GB2312"/>
                <w:color w:val="auto"/>
                <w:sz w:val="24"/>
                <w:lang w:eastAsia="zh-CN"/>
              </w:rPr>
              <w:t>上级重要文件落实</w:t>
            </w:r>
            <w:r>
              <w:rPr>
                <w:rFonts w:hint="eastAsia" w:ascii="仿宋_GB2312" w:hAnsi="仿宋_GB2312" w:eastAsia="仿宋_GB2312" w:cs="仿宋_GB2312"/>
                <w:color w:val="auto"/>
                <w:sz w:val="24"/>
                <w:lang w:val="en-US" w:eastAsia="zh-CN"/>
              </w:rPr>
              <w:t>5中的6项</w:t>
            </w:r>
            <w:r>
              <w:rPr>
                <w:rFonts w:hint="eastAsia" w:ascii="仿宋_GB2312" w:hAnsi="仿宋_GB2312" w:eastAsia="仿宋_GB2312" w:cs="仿宋_GB2312"/>
                <w:color w:val="auto"/>
                <w:sz w:val="24"/>
                <w:u w:val="none"/>
                <w:lang w:val="en-US" w:eastAsia="zh-CN"/>
              </w:rPr>
              <w:t>）全市排名后3的，扣1分。</w:t>
            </w:r>
          </w:p>
        </w:tc>
        <w:tc>
          <w:tcPr>
            <w:tcW w:w="1189" w:type="dxa"/>
            <w:noWrap w:val="0"/>
            <w:vAlign w:val="center"/>
          </w:tcPr>
          <w:p w14:paraId="039B652C">
            <w:pPr>
              <w:adjustRightInd w:val="0"/>
              <w:snapToGrid w:val="0"/>
              <w:spacing w:line="320" w:lineRule="exact"/>
              <w:jc w:val="center"/>
              <w:rPr>
                <w:rFonts w:hint="eastAsia" w:ascii="仿宋_GB2312" w:hAnsi="仿宋_GB2312" w:eastAsia="仿宋_GB2312" w:cs="仿宋_GB2312"/>
                <w:color w:val="auto"/>
                <w:sz w:val="24"/>
                <w:highlight w:val="yellow"/>
              </w:rPr>
            </w:pPr>
          </w:p>
        </w:tc>
      </w:tr>
      <w:tr w14:paraId="3562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978" w:type="dxa"/>
            <w:gridSpan w:val="4"/>
            <w:noWrap w:val="0"/>
            <w:vAlign w:val="center"/>
          </w:tcPr>
          <w:p w14:paraId="36D17401">
            <w:pPr>
              <w:adjustRightInd w:val="0"/>
              <w:snapToGrid w:val="0"/>
              <w:spacing w:line="320" w:lineRule="exact"/>
              <w:jc w:val="center"/>
              <w:rPr>
                <w:rFonts w:hint="eastAsia" w:ascii="仿宋_GB2312" w:hAnsi="仿宋_GB2312" w:eastAsia="仿宋_GB2312" w:cs="仿宋_GB2312"/>
                <w:color w:val="auto"/>
                <w:sz w:val="24"/>
                <w:highlight w:val="none"/>
                <w:u w:val="none"/>
              </w:rPr>
            </w:pPr>
            <w:r>
              <w:rPr>
                <w:rFonts w:hint="eastAsia" w:ascii="黑体" w:hAnsi="黑体" w:eastAsia="黑体" w:cs="黑体"/>
                <w:color w:val="auto"/>
                <w:sz w:val="24"/>
                <w:highlight w:val="none"/>
                <w:u w:val="none"/>
                <w:lang w:eastAsia="zh-CN"/>
              </w:rPr>
              <w:t>三</w:t>
            </w:r>
            <w:r>
              <w:rPr>
                <w:rFonts w:hint="eastAsia" w:ascii="黑体" w:hAnsi="黑体" w:eastAsia="黑体" w:cs="黑体"/>
                <w:color w:val="auto"/>
                <w:sz w:val="24"/>
                <w:highlight w:val="none"/>
                <w:u w:val="none"/>
              </w:rPr>
              <w:t>、加分项</w:t>
            </w:r>
          </w:p>
        </w:tc>
      </w:tr>
      <w:tr w14:paraId="5F28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441" w:type="dxa"/>
            <w:noWrap w:val="0"/>
            <w:vAlign w:val="center"/>
          </w:tcPr>
          <w:p w14:paraId="7D4D20ED">
            <w:pPr>
              <w:spacing w:line="320" w:lineRule="exact"/>
              <w:jc w:val="center"/>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lang w:val="en-US" w:eastAsia="zh-CN"/>
              </w:rPr>
              <w:t>8</w:t>
            </w:r>
          </w:p>
        </w:tc>
        <w:tc>
          <w:tcPr>
            <w:tcW w:w="1261" w:type="dxa"/>
            <w:noWrap w:val="0"/>
            <w:vAlign w:val="center"/>
          </w:tcPr>
          <w:p w14:paraId="116D6FC2">
            <w:pPr>
              <w:adjustRightInd w:val="0"/>
              <w:snapToGrid w:val="0"/>
              <w:spacing w:line="32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建筑市场和工程质量安全经验做法</w:t>
            </w:r>
          </w:p>
        </w:tc>
        <w:tc>
          <w:tcPr>
            <w:tcW w:w="7087" w:type="dxa"/>
            <w:noWrap w:val="0"/>
            <w:vAlign w:val="center"/>
          </w:tcPr>
          <w:p w14:paraId="1553D37A">
            <w:pPr>
              <w:adjustRightInd w:val="0"/>
              <w:snapToGrid w:val="0"/>
              <w:spacing w:line="320" w:lineRule="exac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有关工作被中央、国务院发文推广经验做法或给予嘉奖、表彰的</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每项加10分；被省委省政府、住建部发文推广经验做法或给予嘉奖、表彰的</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每项加8分；被市委市政府、省住建厅发文推广经验做法或给予嘉奖、表彰的</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每项加5分；被县委县政府、市住建局发文推广经验做法或给予嘉奖、表彰的</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每项加3分。</w:t>
            </w:r>
          </w:p>
        </w:tc>
        <w:tc>
          <w:tcPr>
            <w:tcW w:w="1189" w:type="dxa"/>
            <w:noWrap w:val="0"/>
            <w:vAlign w:val="top"/>
          </w:tcPr>
          <w:p w14:paraId="657FE062">
            <w:pPr>
              <w:adjustRightInd w:val="0"/>
              <w:snapToGrid w:val="0"/>
              <w:spacing w:line="320" w:lineRule="exact"/>
              <w:rPr>
                <w:rFonts w:hint="eastAsia" w:ascii="仿宋_GB2312" w:hAnsi="仿宋_GB2312" w:eastAsia="仿宋_GB2312" w:cs="仿宋_GB2312"/>
                <w:color w:val="auto"/>
                <w:sz w:val="24"/>
                <w:highlight w:val="none"/>
              </w:rPr>
            </w:pPr>
          </w:p>
        </w:tc>
      </w:tr>
      <w:tr w14:paraId="5EFC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5" w:hRule="atLeast"/>
          <w:jc w:val="center"/>
        </w:trPr>
        <w:tc>
          <w:tcPr>
            <w:tcW w:w="441" w:type="dxa"/>
            <w:noWrap w:val="0"/>
            <w:vAlign w:val="center"/>
          </w:tcPr>
          <w:p w14:paraId="1D1C19BE">
            <w:pPr>
              <w:spacing w:line="32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9537" w:type="dxa"/>
            <w:gridSpan w:val="3"/>
            <w:noWrap w:val="0"/>
            <w:vAlign w:val="top"/>
          </w:tcPr>
          <w:p w14:paraId="4B2F982E">
            <w:pPr>
              <w:adjustRightInd w:val="0"/>
              <w:snapToGrid w:val="0"/>
              <w:spacing w:line="32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其他情况：</w:t>
            </w:r>
          </w:p>
        </w:tc>
      </w:tr>
    </w:tbl>
    <w:p w14:paraId="0C7F3E91">
      <w:pPr>
        <w:spacing w:line="500" w:lineRule="exact"/>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检查组组长（签名）：</w:t>
      </w:r>
    </w:p>
    <w:p w14:paraId="6D6D138C">
      <w:pPr>
        <w:keepNext w:val="0"/>
        <w:keepLines w:val="0"/>
        <w:pageBreakBefore w:val="0"/>
        <w:widowControl w:val="0"/>
        <w:kinsoku/>
        <w:wordWrap/>
        <w:overflowPunct/>
        <w:topLinePunct w:val="0"/>
        <w:autoSpaceDE/>
        <w:autoSpaceDN/>
        <w:bidi w:val="0"/>
        <w:spacing w:line="540" w:lineRule="exact"/>
        <w:textAlignment w:val="auto"/>
        <w:rPr>
          <w:rFonts w:hint="eastAsia" w:ascii="黑体" w:hAnsi="黑体" w:eastAsia="黑体" w:cs="黑体"/>
          <w:sz w:val="32"/>
          <w:szCs w:val="20"/>
          <w:lang w:eastAsia="zh-CN"/>
        </w:rPr>
      </w:pPr>
    </w:p>
    <w:p w14:paraId="56DF35FC">
      <w:pPr>
        <w:spacing w:line="500" w:lineRule="exact"/>
        <w:rPr>
          <w:rFonts w:hint="eastAsia" w:ascii="宋体" w:hAnsi="宋体" w:eastAsia="宋体" w:cs="宋体"/>
          <w:b/>
          <w:bCs/>
          <w:color w:val="auto"/>
          <w:sz w:val="40"/>
          <w:szCs w:val="40"/>
        </w:rPr>
      </w:pPr>
      <w:r>
        <w:rPr>
          <w:rFonts w:hint="eastAsia" w:ascii="黑体" w:hAnsi="黑体" w:eastAsia="黑体" w:cs="黑体"/>
          <w:color w:val="auto"/>
          <w:sz w:val="32"/>
          <w:szCs w:val="32"/>
        </w:rPr>
        <w:br w:type="page"/>
      </w:r>
      <w:r>
        <w:rPr>
          <w:rFonts w:hint="eastAsia" w:ascii="黑体" w:hAnsi="黑体" w:eastAsia="黑体" w:cs="黑体"/>
          <w:color w:val="auto"/>
          <w:sz w:val="32"/>
          <w:szCs w:val="32"/>
        </w:rPr>
        <w:t>附件2</w:t>
      </w:r>
    </w:p>
    <w:p w14:paraId="480DBD2F">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宋体" w:hAnsi="宋体" w:eastAsia="宋体" w:cs="宋体"/>
          <w:b/>
          <w:bCs w:val="0"/>
          <w:sz w:val="44"/>
          <w:szCs w:val="44"/>
        </w:rPr>
      </w:pPr>
      <w:r>
        <w:rPr>
          <w:rFonts w:hint="eastAsia" w:ascii="宋体" w:hAnsi="宋体" w:eastAsia="宋体" w:cs="宋体"/>
          <w:b/>
          <w:bCs w:val="0"/>
          <w:color w:val="auto"/>
          <w:kern w:val="0"/>
          <w:sz w:val="44"/>
          <w:szCs w:val="44"/>
          <w:lang w:bidi="ar"/>
        </w:rPr>
        <w:t>工程各方主体须提供的材料清单</w:t>
      </w:r>
    </w:p>
    <w:tbl>
      <w:tblPr>
        <w:tblStyle w:val="4"/>
        <w:tblW w:w="10289" w:type="dxa"/>
        <w:jc w:val="center"/>
        <w:tblLayout w:type="fixed"/>
        <w:tblCellMar>
          <w:top w:w="0" w:type="dxa"/>
          <w:left w:w="108" w:type="dxa"/>
          <w:bottom w:w="0" w:type="dxa"/>
          <w:right w:w="108" w:type="dxa"/>
        </w:tblCellMar>
      </w:tblPr>
      <w:tblGrid>
        <w:gridCol w:w="1050"/>
        <w:gridCol w:w="779"/>
        <w:gridCol w:w="8460"/>
      </w:tblGrid>
      <w:tr w14:paraId="5CE6CEBE">
        <w:tblPrEx>
          <w:tblCellMar>
            <w:top w:w="0" w:type="dxa"/>
            <w:left w:w="108" w:type="dxa"/>
            <w:bottom w:w="0" w:type="dxa"/>
            <w:right w:w="108" w:type="dxa"/>
          </w:tblCellMar>
        </w:tblPrEx>
        <w:trPr>
          <w:trHeight w:val="510" w:hRule="atLeast"/>
          <w:jc w:val="center"/>
        </w:trPr>
        <w:tc>
          <w:tcPr>
            <w:tcW w:w="1050" w:type="dxa"/>
            <w:tcBorders>
              <w:top w:val="single" w:color="000000" w:sz="4" w:space="0"/>
              <w:left w:val="single" w:color="000000" w:sz="4" w:space="0"/>
              <w:bottom w:val="single" w:color="000000" w:sz="4" w:space="0"/>
              <w:right w:val="single" w:color="000000" w:sz="4" w:space="0"/>
            </w:tcBorders>
            <w:noWrap/>
            <w:vAlign w:val="center"/>
          </w:tcPr>
          <w:p w14:paraId="3EC9A2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类别</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688C59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序号</w:t>
            </w:r>
          </w:p>
        </w:tc>
        <w:tc>
          <w:tcPr>
            <w:tcW w:w="8460" w:type="dxa"/>
            <w:tcBorders>
              <w:top w:val="single" w:color="000000" w:sz="4" w:space="0"/>
              <w:left w:val="single" w:color="000000" w:sz="4" w:space="0"/>
              <w:bottom w:val="single" w:color="000000" w:sz="4" w:space="0"/>
              <w:right w:val="single" w:color="000000" w:sz="4" w:space="0"/>
            </w:tcBorders>
            <w:noWrap/>
            <w:vAlign w:val="center"/>
          </w:tcPr>
          <w:p w14:paraId="03C37C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材料名称</w:t>
            </w:r>
          </w:p>
        </w:tc>
      </w:tr>
      <w:tr w14:paraId="482D92A0">
        <w:tblPrEx>
          <w:tblCellMar>
            <w:top w:w="0" w:type="dxa"/>
            <w:left w:w="108" w:type="dxa"/>
            <w:bottom w:w="0" w:type="dxa"/>
            <w:right w:w="108" w:type="dxa"/>
          </w:tblCellMar>
        </w:tblPrEx>
        <w:trPr>
          <w:trHeight w:val="5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6198FC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建设单位</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607FE44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6E015D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施工（工程）总承包合同</w:t>
            </w:r>
          </w:p>
        </w:tc>
      </w:tr>
      <w:tr w14:paraId="4C0EEF51">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D7E19A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3D5AE472">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40E89D6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专业承包合同</w:t>
            </w:r>
          </w:p>
        </w:tc>
      </w:tr>
      <w:tr w14:paraId="1634DC29">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1DA4503">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00E543EF">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6ECCFDA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建设工程监理合同</w:t>
            </w:r>
          </w:p>
        </w:tc>
      </w:tr>
      <w:tr w14:paraId="6550675A">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436997B">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0EC3442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4A739299">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勘察、设计合同</w:t>
            </w:r>
          </w:p>
        </w:tc>
      </w:tr>
      <w:tr w14:paraId="15BDE5E5">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144BA3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35EDB1EB">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6B0DA2BD">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施工图审查合格书、报告书及审查合格的施工图</w:t>
            </w:r>
          </w:p>
        </w:tc>
      </w:tr>
      <w:tr w14:paraId="67C96719">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05FCF8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05C3897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6</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626FFC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施工许可证（复印件）</w:t>
            </w:r>
          </w:p>
        </w:tc>
      </w:tr>
      <w:tr w14:paraId="1A195D13">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52B64C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3C4AB7D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7</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4A9C55BA">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建设工程款支付凭证、监理费支付凭证</w:t>
            </w:r>
          </w:p>
        </w:tc>
      </w:tr>
      <w:tr w14:paraId="00B37962">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374FEA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2D5CB40E">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8</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258B83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农民工工资支付凭证</w:t>
            </w:r>
          </w:p>
        </w:tc>
      </w:tr>
      <w:tr w14:paraId="4D498A99">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1E3EE5B">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5247933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9</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E5585D1">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工程款支付担保凭证（复印件）</w:t>
            </w:r>
          </w:p>
        </w:tc>
      </w:tr>
      <w:tr w14:paraId="4C766BD5">
        <w:tblPrEx>
          <w:tblCellMar>
            <w:top w:w="0" w:type="dxa"/>
            <w:left w:w="108" w:type="dxa"/>
            <w:bottom w:w="0" w:type="dxa"/>
            <w:right w:w="108" w:type="dxa"/>
          </w:tblCellMar>
        </w:tblPrEx>
        <w:trPr>
          <w:trHeight w:val="5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E5550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施工总承包单位</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7D71402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10</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68417AC6">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资质证书（复印件）</w:t>
            </w:r>
          </w:p>
        </w:tc>
      </w:tr>
      <w:tr w14:paraId="412E6BC0">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855D99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8B69DF7">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11</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280D7F3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项目部主要管理人员花名册</w:t>
            </w:r>
          </w:p>
        </w:tc>
      </w:tr>
      <w:tr w14:paraId="699CC8AE">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6D1956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764303E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12</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2BED509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项目经理劳动合同、社保证明、注册证书（复印件）、工资发放单</w:t>
            </w:r>
          </w:p>
        </w:tc>
      </w:tr>
      <w:tr w14:paraId="7F0DF42E">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E5E2BD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598B708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13</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25D8923B">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技术负责人劳动合同、社保证明、职称证书（复印件）、工资发放单</w:t>
            </w:r>
          </w:p>
        </w:tc>
      </w:tr>
      <w:tr w14:paraId="47EC7E66">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75865D9">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6D8902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14</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179FAA2C">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质量负责人劳动合同、社保证明、岗位证书（复印件）、工资发放单</w:t>
            </w:r>
          </w:p>
        </w:tc>
      </w:tr>
      <w:tr w14:paraId="0F83FADC">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06AF6C9">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5313796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15</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396F31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安全负责人劳动合同、社保证明、岗位证书（复印件）、工资发放单</w:t>
            </w:r>
          </w:p>
        </w:tc>
      </w:tr>
      <w:tr w14:paraId="067D10E4">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7268FB8">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7187C3A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16</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636E8ED9">
            <w:pPr>
              <w:keepNext w:val="0"/>
              <w:keepLines w:val="0"/>
              <w:pageBreakBefore w:val="0"/>
              <w:widowControl/>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color w:val="FF0000"/>
                <w:kern w:val="0"/>
                <w:sz w:val="24"/>
                <w:szCs w:val="24"/>
                <w:u w:val="single"/>
                <w:lang w:bidi="ar"/>
              </w:rPr>
            </w:pPr>
            <w:r>
              <w:rPr>
                <w:rFonts w:hint="eastAsia" w:ascii="仿宋_GB2312" w:hAnsi="仿宋_GB2312" w:eastAsia="仿宋_GB2312" w:cs="仿宋_GB2312"/>
                <w:color w:val="auto"/>
                <w:kern w:val="0"/>
                <w:sz w:val="24"/>
                <w:szCs w:val="24"/>
                <w:lang w:bidi="ar"/>
              </w:rPr>
              <w:t>专（兼）职建筑工人实名制管理人员任职文件、劳动合同、社保证明、工资发放单</w:t>
            </w:r>
          </w:p>
        </w:tc>
      </w:tr>
      <w:tr w14:paraId="625EC553">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21F320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4CD595DA">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17</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1854CD3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建筑工人劳动合同</w:t>
            </w:r>
          </w:p>
        </w:tc>
      </w:tr>
      <w:tr w14:paraId="615318E2">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FE3FD2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736C364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18</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35E9E741">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专业分包合同</w:t>
            </w:r>
          </w:p>
        </w:tc>
      </w:tr>
      <w:tr w14:paraId="630F7048">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6187BB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25790ED6">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19</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646CF624">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劳务分包合同</w:t>
            </w:r>
          </w:p>
        </w:tc>
      </w:tr>
      <w:tr w14:paraId="298F53EA">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0A6477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4604261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20</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FA34930">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材料设备采购合同</w:t>
            </w:r>
          </w:p>
        </w:tc>
      </w:tr>
      <w:tr w14:paraId="62ACD4D0">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AE22055">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56095A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21</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675113A7">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材料设备租赁合同</w:t>
            </w:r>
          </w:p>
        </w:tc>
      </w:tr>
      <w:tr w14:paraId="0BFDF9DF">
        <w:tblPrEx>
          <w:tblCellMar>
            <w:top w:w="0" w:type="dxa"/>
            <w:left w:w="108" w:type="dxa"/>
            <w:bottom w:w="0" w:type="dxa"/>
            <w:right w:w="108" w:type="dxa"/>
          </w:tblCellMar>
        </w:tblPrEx>
        <w:trPr>
          <w:trHeight w:val="510" w:hRule="atLeast"/>
          <w:jc w:val="center"/>
        </w:trPr>
        <w:tc>
          <w:tcPr>
            <w:tcW w:w="1050" w:type="dxa"/>
            <w:tcBorders>
              <w:top w:val="single" w:color="000000" w:sz="4" w:space="0"/>
              <w:left w:val="single" w:color="000000" w:sz="4" w:space="0"/>
              <w:bottom w:val="single" w:color="000000" w:sz="4" w:space="0"/>
              <w:right w:val="single" w:color="000000" w:sz="4" w:space="0"/>
            </w:tcBorders>
            <w:noWrap/>
            <w:vAlign w:val="center"/>
          </w:tcPr>
          <w:p w14:paraId="1B3609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类别</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4CEF76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序号</w:t>
            </w:r>
          </w:p>
        </w:tc>
        <w:tc>
          <w:tcPr>
            <w:tcW w:w="8460" w:type="dxa"/>
            <w:tcBorders>
              <w:top w:val="single" w:color="000000" w:sz="4" w:space="0"/>
              <w:left w:val="single" w:color="000000" w:sz="4" w:space="0"/>
              <w:bottom w:val="single" w:color="000000" w:sz="4" w:space="0"/>
              <w:right w:val="single" w:color="000000" w:sz="4" w:space="0"/>
            </w:tcBorders>
            <w:noWrap/>
            <w:vAlign w:val="center"/>
          </w:tcPr>
          <w:p w14:paraId="400B57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u w:val="single"/>
              </w:rPr>
            </w:pPr>
            <w:r>
              <w:rPr>
                <w:rFonts w:hint="eastAsia" w:ascii="仿宋_GB2312" w:hAnsi="仿宋_GB2312" w:eastAsia="仿宋_GB2312" w:cs="仿宋_GB2312"/>
                <w:b/>
                <w:color w:val="auto"/>
                <w:kern w:val="0"/>
                <w:sz w:val="24"/>
                <w:szCs w:val="24"/>
                <w:u w:val="single"/>
                <w:lang w:bidi="ar"/>
              </w:rPr>
              <w:t>材料名称</w:t>
            </w:r>
          </w:p>
        </w:tc>
      </w:tr>
      <w:tr w14:paraId="652E570C">
        <w:tblPrEx>
          <w:tblCellMar>
            <w:top w:w="0" w:type="dxa"/>
            <w:left w:w="108" w:type="dxa"/>
            <w:bottom w:w="0" w:type="dxa"/>
            <w:right w:w="108" w:type="dxa"/>
          </w:tblCellMar>
        </w:tblPrEx>
        <w:trPr>
          <w:trHeight w:val="5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D58E3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施工总承包单位</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BE4A3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22</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54197E8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kern w:val="0"/>
                <w:sz w:val="24"/>
                <w:szCs w:val="24"/>
                <w:lang w:bidi="ar"/>
              </w:rPr>
              <w:t>专业分包工程款支付凭证</w:t>
            </w:r>
          </w:p>
        </w:tc>
      </w:tr>
      <w:tr w14:paraId="7D7ECB42">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F05F9D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6AE33C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23</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0DCF43E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劳务分包款支付凭证</w:t>
            </w:r>
          </w:p>
        </w:tc>
      </w:tr>
      <w:tr w14:paraId="276C6CBE">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BF0124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40DBE4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24</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1A5C6D0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农民工工资保证金缴纳凭证</w:t>
            </w:r>
          </w:p>
        </w:tc>
      </w:tr>
      <w:tr w14:paraId="2B516697">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1FA89FE">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48E1330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25</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61410E0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农民工工资专用账户</w:t>
            </w:r>
          </w:p>
        </w:tc>
      </w:tr>
      <w:tr w14:paraId="0E30E551">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AA08D0C">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0C6B93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26</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318A5E4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材料设备采购（租赁）台帐、支付凭证</w:t>
            </w:r>
          </w:p>
        </w:tc>
      </w:tr>
      <w:tr w14:paraId="30012640">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72D8FB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3918A5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27</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6A3478D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FF0000"/>
                <w:sz w:val="24"/>
                <w:szCs w:val="24"/>
                <w:u w:val="single"/>
              </w:rPr>
            </w:pPr>
            <w:r>
              <w:rPr>
                <w:rFonts w:hint="eastAsia" w:ascii="仿宋_GB2312" w:hAnsi="仿宋_GB2312" w:eastAsia="仿宋_GB2312" w:cs="仿宋_GB2312"/>
                <w:color w:val="auto"/>
                <w:kern w:val="0"/>
                <w:sz w:val="24"/>
                <w:szCs w:val="24"/>
                <w:lang w:bidi="ar"/>
              </w:rPr>
              <w:t>自有机械设备、周转材料的证明</w:t>
            </w:r>
          </w:p>
        </w:tc>
      </w:tr>
      <w:tr w14:paraId="124988D3">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6AB8B25">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33F3C2A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28</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80A409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施工单位的</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sz w:val="24"/>
                <w:u w:val="none"/>
                <w:lang w:val="en-US" w:eastAsia="zh-CN"/>
              </w:rPr>
              <w:t>施工现场安全管理专项整治”自查表、</w:t>
            </w:r>
            <w:r>
              <w:rPr>
                <w:rFonts w:hint="eastAsia" w:ascii="仿宋_GB2312" w:hAnsi="仿宋_GB2312" w:eastAsia="仿宋_GB2312" w:cs="仿宋_GB2312"/>
                <w:color w:val="auto"/>
                <w:kern w:val="0"/>
                <w:sz w:val="24"/>
                <w:szCs w:val="24"/>
                <w:lang w:bidi="ar"/>
              </w:rPr>
              <w:t>施工日志</w:t>
            </w:r>
          </w:p>
        </w:tc>
      </w:tr>
      <w:tr w14:paraId="343FF71F">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E31D1E3">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CD8C3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29</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D675B5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建筑工人实名制信息化管理制度（以福建省劳务实名制管理平台数据为准）</w:t>
            </w:r>
          </w:p>
        </w:tc>
      </w:tr>
      <w:tr w14:paraId="57C88E95">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C1D48F9">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0668F3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30</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70B6FA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建筑工人实名制管理相关硬件设施设备</w:t>
            </w:r>
          </w:p>
        </w:tc>
      </w:tr>
      <w:tr w14:paraId="134BBD33">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73E58E7">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360EFF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31</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18EA085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“建筑工人维权告示牌”</w:t>
            </w:r>
          </w:p>
        </w:tc>
      </w:tr>
      <w:tr w14:paraId="2D616485">
        <w:tblPrEx>
          <w:tblCellMar>
            <w:top w:w="0" w:type="dxa"/>
            <w:left w:w="108" w:type="dxa"/>
            <w:bottom w:w="0" w:type="dxa"/>
            <w:right w:w="108" w:type="dxa"/>
          </w:tblCellMar>
        </w:tblPrEx>
        <w:trPr>
          <w:trHeight w:val="5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396E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kern w:val="0"/>
                <w:sz w:val="24"/>
                <w:szCs w:val="24"/>
                <w:lang w:bidi="ar"/>
              </w:rPr>
            </w:pPr>
            <w:r>
              <w:rPr>
                <w:rFonts w:hint="eastAsia" w:ascii="仿宋_GB2312" w:hAnsi="仿宋_GB2312" w:eastAsia="仿宋_GB2312" w:cs="仿宋_GB2312"/>
                <w:b/>
                <w:color w:val="auto"/>
                <w:kern w:val="0"/>
                <w:sz w:val="24"/>
                <w:szCs w:val="24"/>
                <w:lang w:bidi="ar"/>
              </w:rPr>
              <w:t>分包</w:t>
            </w:r>
          </w:p>
          <w:p w14:paraId="07CE60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单位</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3CA954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32</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ABC6DD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资质证书（复印件）</w:t>
            </w:r>
          </w:p>
        </w:tc>
      </w:tr>
      <w:tr w14:paraId="240F5882">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B83B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CF221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33</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AE4255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现场负责人劳动合同、社保证明、注册证书（复印件）、工资发放单</w:t>
            </w:r>
          </w:p>
        </w:tc>
      </w:tr>
      <w:tr w14:paraId="2EAFADF3">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BCC60">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395744D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34</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5595F4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委托施工总承包企业通过农民工工资专用账户向建筑工人代发工资的合同或协议</w:t>
            </w:r>
          </w:p>
        </w:tc>
      </w:tr>
      <w:tr w14:paraId="57D305D7">
        <w:tblPrEx>
          <w:tblCellMar>
            <w:top w:w="0" w:type="dxa"/>
            <w:left w:w="108" w:type="dxa"/>
            <w:bottom w:w="0" w:type="dxa"/>
            <w:right w:w="108" w:type="dxa"/>
          </w:tblCellMar>
        </w:tblPrEx>
        <w:trPr>
          <w:trHeight w:val="5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87F27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监理</w:t>
            </w:r>
            <w:r>
              <w:rPr>
                <w:rFonts w:hint="eastAsia" w:ascii="仿宋_GB2312" w:hAnsi="仿宋_GB2312" w:eastAsia="仿宋_GB2312" w:cs="仿宋_GB2312"/>
                <w:b/>
                <w:color w:val="auto"/>
                <w:kern w:val="0"/>
                <w:sz w:val="24"/>
                <w:szCs w:val="24"/>
                <w:lang w:bidi="ar"/>
              </w:rPr>
              <w:br w:type="textWrapping"/>
            </w:r>
            <w:r>
              <w:rPr>
                <w:rFonts w:hint="eastAsia" w:ascii="仿宋_GB2312" w:hAnsi="仿宋_GB2312" w:eastAsia="仿宋_GB2312" w:cs="仿宋_GB2312"/>
                <w:b/>
                <w:color w:val="auto"/>
                <w:kern w:val="0"/>
                <w:sz w:val="24"/>
                <w:szCs w:val="24"/>
                <w:lang w:bidi="ar"/>
              </w:rPr>
              <w:t>单位</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677759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35</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7A2268E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Style w:val="6"/>
                <w:rFonts w:hint="eastAsia" w:ascii="仿宋_GB2312" w:hAnsi="仿宋_GB2312" w:eastAsia="仿宋_GB2312" w:cs="仿宋_GB2312"/>
                <w:color w:val="auto"/>
                <w:sz w:val="24"/>
                <w:szCs w:val="24"/>
                <w:lang w:bidi="ar"/>
              </w:rPr>
              <w:t>资质证书</w:t>
            </w:r>
            <w:r>
              <w:rPr>
                <w:rStyle w:val="7"/>
                <w:rFonts w:hint="eastAsia" w:ascii="仿宋_GB2312" w:hAnsi="仿宋_GB2312" w:eastAsia="仿宋_GB2312" w:cs="仿宋_GB2312"/>
                <w:color w:val="auto"/>
                <w:sz w:val="24"/>
                <w:szCs w:val="24"/>
                <w:lang w:bidi="ar"/>
              </w:rPr>
              <w:t>（</w:t>
            </w:r>
            <w:r>
              <w:rPr>
                <w:rStyle w:val="8"/>
                <w:rFonts w:hint="eastAsia" w:ascii="仿宋_GB2312" w:hAnsi="仿宋_GB2312" w:eastAsia="仿宋_GB2312" w:cs="仿宋_GB2312"/>
                <w:color w:val="auto"/>
                <w:sz w:val="24"/>
                <w:szCs w:val="24"/>
                <w:lang w:bidi="ar"/>
              </w:rPr>
              <w:t>复印件</w:t>
            </w:r>
            <w:r>
              <w:rPr>
                <w:rStyle w:val="7"/>
                <w:rFonts w:hint="eastAsia" w:ascii="仿宋_GB2312" w:hAnsi="仿宋_GB2312" w:eastAsia="仿宋_GB2312" w:cs="仿宋_GB2312"/>
                <w:color w:val="auto"/>
                <w:sz w:val="24"/>
                <w:szCs w:val="24"/>
                <w:lang w:bidi="ar"/>
              </w:rPr>
              <w:t>）</w:t>
            </w:r>
          </w:p>
        </w:tc>
      </w:tr>
      <w:tr w14:paraId="0A80407E">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E9EB6">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7C4C11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36</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051ACC7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bidi="ar"/>
              </w:rPr>
              <w:t>项目监理机构组织架构及现场人员花名册、考勤表、项目监管系统项目监理机构人员登记表</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sz w:val="24"/>
                <w:lang w:eastAsia="zh-CN"/>
              </w:rPr>
              <w:t>企业负责人和项目负责人开展安全自查相关情况。</w:t>
            </w:r>
          </w:p>
        </w:tc>
      </w:tr>
      <w:tr w14:paraId="375BE0C0">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99C0B">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5C7D24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37</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4231768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总监理工程师劳动合同、任命书、社保证明、注册证书（复印件）、工资发放单、变更（如有变更）材料</w:t>
            </w:r>
          </w:p>
        </w:tc>
      </w:tr>
      <w:tr w14:paraId="2D2F1839">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FC96D">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6F7A6A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38</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57C713F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专业监理工程师劳动合同、社保证明、业务培训证书（复印件）、工资发放单</w:t>
            </w:r>
          </w:p>
        </w:tc>
      </w:tr>
      <w:tr w14:paraId="4833FD72">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34224">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038554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39</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10463CB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监理员劳动合同、社保证明、业务培训证书（复印件）、工资发放单</w:t>
            </w:r>
          </w:p>
        </w:tc>
      </w:tr>
      <w:tr w14:paraId="7B733035">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33030">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5036A0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40</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14:paraId="504E0AE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监理日志、监理月报、会议纪要（含第一次工地例会、监理例会、专题会议等）</w:t>
            </w:r>
          </w:p>
        </w:tc>
      </w:tr>
    </w:tbl>
    <w:p w14:paraId="759B4C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algun Gothic Semilight">
    <w:altName w:val="Malgun Gothic"/>
    <w:panose1 w:val="020B0502040204020203"/>
    <w:charset w:val="00"/>
    <w:family w:val="swiss"/>
    <w:pitch w:val="default"/>
    <w:sig w:usb0="00000000" w:usb1="00000000" w:usb2="00000012" w:usb3="00000000" w:csb0="003E01BD"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341A0"/>
    <w:rsid w:val="4243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1"/>
    </w:pPr>
    <w:rPr>
      <w:rFonts w:ascii="宋体" w:hAnsi="Times New Roman" w:eastAsia="宋体" w:cs="Times New Roman"/>
      <w:b/>
      <w:snapToGrid/>
      <w:color w:val="auto"/>
      <w:spacing w:val="0"/>
      <w:w w:val="100"/>
      <w:kern w:val="0"/>
      <w:position w:val="0"/>
      <w:sz w:val="36"/>
      <w:szCs w:val="21"/>
      <w:u w:val="none" w:color="auto"/>
      <w:vertAlign w:val="baseline"/>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customStyle="1" w:styleId="6">
    <w:name w:val="font51"/>
    <w:qFormat/>
    <w:uiPriority w:val="0"/>
    <w:rPr>
      <w:rFonts w:hint="eastAsia" w:ascii="仿宋_GB2312" w:hAnsi="Times New Roman" w:eastAsia="仿宋_GB2312" w:cs="仿宋_GB2312"/>
      <w:color w:val="000000"/>
      <w:sz w:val="24"/>
      <w:szCs w:val="24"/>
      <w:u w:val="none"/>
    </w:rPr>
  </w:style>
  <w:style w:type="character" w:customStyle="1" w:styleId="7">
    <w:name w:val="font01"/>
    <w:qFormat/>
    <w:uiPriority w:val="0"/>
    <w:rPr>
      <w:rFonts w:ascii="Malgun Gothic Semilight" w:hAnsi="Malgun Gothic Semilight" w:eastAsia="Malgun Gothic Semilight" w:cs="Malgun Gothic Semilight"/>
      <w:color w:val="000000"/>
      <w:sz w:val="24"/>
      <w:szCs w:val="24"/>
      <w:u w:val="none"/>
    </w:rPr>
  </w:style>
  <w:style w:type="character" w:customStyle="1" w:styleId="8">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2024-12-30T08:16:00Z</dcterms:created>
  <dc:creator>Administrator</dc:creator>
  <cp:lastModifiedBy>Administrator</cp:lastModifiedBy>
  <dcterms:modified xsi:type="dcterms:W3CDTF">2024-12-30T08:16:24Z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6D857CEBEEAA4E19870F2341E6BE9E0A_11</vt:lpwstr>
  </property>
  <property fmtid="{D5CDD505-2E9C-101B-9397-08002B2CF9AE}" pid="4" name="KSOTemplateDocerSaveRecord">
    <vt:lpwstr>eyJoZGlkIjoiYmI0Y2IwMWQxYzhjZDU3NzhkYjEwMTRmMTg2OTY1N2IifQ==</vt:lpwstr>
  </property>
</Properties>
</file>