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540" w:lineRule="exact"/>
        <w:jc w:val="center"/>
        <w:rPr>
          <w:rFonts w:hint="eastAsia" w:ascii="楷体_GB2312" w:hAnsi="楷体_GB2312" w:eastAsia="楷体_GB2312" w:cs="楷体_GB2312"/>
          <w:color w:val="auto"/>
          <w:sz w:val="44"/>
          <w:szCs w:val="44"/>
        </w:rPr>
      </w:pPr>
      <w:r>
        <w:rPr>
          <w:rFonts w:hint="eastAsia" w:ascii="宋体" w:hAnsi="宋体" w:eastAsia="宋体" w:cs="宋体"/>
          <w:b/>
          <w:bCs/>
          <w:color w:val="auto"/>
          <w:sz w:val="44"/>
          <w:szCs w:val="44"/>
        </w:rPr>
        <w:t>主管部门履职情况</w:t>
      </w:r>
      <w:r>
        <w:rPr>
          <w:rFonts w:hint="eastAsia" w:ascii="宋体" w:hAnsi="宋体" w:eastAsia="宋体" w:cs="宋体"/>
          <w:b/>
          <w:color w:val="auto"/>
          <w:sz w:val="44"/>
          <w:szCs w:val="44"/>
        </w:rPr>
        <w:t>检查</w:t>
      </w:r>
      <w:r>
        <w:rPr>
          <w:rFonts w:hint="eastAsia" w:ascii="宋体" w:hAnsi="宋体" w:eastAsia="宋体" w:cs="宋体"/>
          <w:b/>
          <w:color w:val="auto"/>
          <w:sz w:val="44"/>
          <w:szCs w:val="44"/>
          <w:lang w:eastAsia="zh-CN"/>
        </w:rPr>
        <w:t>赋分</w:t>
      </w:r>
      <w:r>
        <w:rPr>
          <w:rFonts w:hint="eastAsia" w:ascii="宋体" w:hAnsi="宋体" w:eastAsia="宋体" w:cs="宋体"/>
          <w:b/>
          <w:color w:val="auto"/>
          <w:sz w:val="44"/>
          <w:szCs w:val="44"/>
        </w:rPr>
        <w:t>表</w:t>
      </w:r>
    </w:p>
    <w:p>
      <w:pPr>
        <w:adjustRightInd w:val="0"/>
        <w:snapToGrid w:val="0"/>
        <w:spacing w:line="540" w:lineRule="exact"/>
        <w:rPr>
          <w:rFonts w:hint="eastAsia" w:ascii="Times New Roman" w:hAnsi="Times New Roman" w:eastAsia="方正小标宋简体" w:cs="Times New Roman"/>
          <w:bCs/>
          <w:color w:val="auto"/>
          <w:sz w:val="28"/>
          <w:szCs w:val="28"/>
        </w:rPr>
      </w:pPr>
      <w:r>
        <w:rPr>
          <w:rFonts w:hint="eastAsia" w:ascii="楷体_GB2312" w:hAnsi="楷体_GB2312" w:eastAsia="楷体_GB2312" w:cs="楷体_GB2312"/>
          <w:color w:val="auto"/>
          <w:sz w:val="28"/>
          <w:szCs w:val="28"/>
          <w:lang w:eastAsia="zh-CN"/>
        </w:rPr>
        <w:t>检查</w:t>
      </w:r>
      <w:r>
        <w:rPr>
          <w:rFonts w:hint="eastAsia" w:ascii="楷体_GB2312" w:hAnsi="楷体_GB2312" w:eastAsia="楷体_GB2312" w:cs="楷体_GB2312"/>
          <w:color w:val="auto"/>
          <w:sz w:val="28"/>
          <w:szCs w:val="28"/>
        </w:rPr>
        <w:t>县（市、区）住建主管部门：</w:t>
      </w:r>
    </w:p>
    <w:tbl>
      <w:tblPr>
        <w:tblStyle w:val="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261"/>
        <w:gridCol w:w="708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blHeader/>
          <w:jc w:val="center"/>
        </w:trPr>
        <w:tc>
          <w:tcPr>
            <w:tcW w:w="441" w:type="dxa"/>
            <w:noWrap w:val="0"/>
            <w:vAlign w:val="center"/>
          </w:tcPr>
          <w:p>
            <w:pPr>
              <w:adjustRightInd w:val="0"/>
              <w:snapToGrid w:val="0"/>
              <w:spacing w:line="32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1261" w:type="dxa"/>
            <w:noWrap w:val="0"/>
            <w:vAlign w:val="center"/>
          </w:tcPr>
          <w:p>
            <w:pPr>
              <w:adjustRightInd w:val="0"/>
              <w:snapToGrid w:val="0"/>
              <w:spacing w:line="32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检查类别</w:t>
            </w:r>
          </w:p>
        </w:tc>
        <w:tc>
          <w:tcPr>
            <w:tcW w:w="7087" w:type="dxa"/>
            <w:noWrap w:val="0"/>
            <w:vAlign w:val="center"/>
          </w:tcPr>
          <w:p>
            <w:pPr>
              <w:adjustRightInd w:val="0"/>
              <w:snapToGrid w:val="0"/>
              <w:spacing w:line="32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检查重点及赋分权重</w:t>
            </w:r>
          </w:p>
        </w:tc>
        <w:tc>
          <w:tcPr>
            <w:tcW w:w="1189" w:type="dxa"/>
            <w:noWrap w:val="0"/>
            <w:vAlign w:val="center"/>
          </w:tcPr>
          <w:p>
            <w:pPr>
              <w:adjustRightInd w:val="0"/>
              <w:snapToGrid w:val="0"/>
              <w:spacing w:line="320" w:lineRule="exact"/>
              <w:jc w:val="center"/>
              <w:rPr>
                <w:rFonts w:hint="eastAsia" w:ascii="宋体" w:hAnsi="宋体" w:eastAsia="宋体" w:cs="宋体"/>
                <w:b/>
                <w:bCs/>
                <w:color w:val="auto"/>
                <w:sz w:val="24"/>
                <w:lang w:val="en"/>
              </w:rPr>
            </w:pPr>
            <w:r>
              <w:rPr>
                <w:rFonts w:hint="eastAsia" w:ascii="宋体" w:hAnsi="宋体" w:eastAsia="宋体" w:cs="宋体"/>
                <w:b/>
                <w:bCs/>
                <w:color w:val="auto"/>
                <w:sz w:val="24"/>
                <w:lang w:val="e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441" w:type="dxa"/>
            <w:vMerge w:val="restart"/>
            <w:noWrap w:val="0"/>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261" w:type="dxa"/>
            <w:vMerge w:val="restart"/>
            <w:noWrap w:val="0"/>
            <w:vAlign w:val="center"/>
          </w:tcPr>
          <w:p>
            <w:pPr>
              <w:adjustRightInd w:val="0"/>
              <w:snapToGrid w:val="0"/>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上级重要文件落实</w:t>
            </w:r>
          </w:p>
          <w:p>
            <w:pPr>
              <w:adjustRightInd w:val="0"/>
              <w:snapToGrid w:val="0"/>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u w:val="none"/>
              </w:rPr>
              <w:t>（</w:t>
            </w:r>
            <w:r>
              <w:rPr>
                <w:rFonts w:hint="eastAsia" w:ascii="仿宋_GB2312" w:hAnsi="仿宋_GB2312" w:eastAsia="仿宋_GB2312" w:cs="仿宋_GB2312"/>
                <w:color w:val="auto"/>
                <w:sz w:val="24"/>
                <w:u w:val="none"/>
                <w:lang w:val="en-US" w:eastAsia="zh-CN"/>
              </w:rPr>
              <w:t>40</w:t>
            </w:r>
            <w:r>
              <w:rPr>
                <w:rFonts w:hint="eastAsia" w:ascii="仿宋_GB2312" w:hAnsi="仿宋_GB2312" w:eastAsia="仿宋_GB2312" w:cs="仿宋_GB2312"/>
                <w:color w:val="auto"/>
                <w:sz w:val="24"/>
                <w:u w:val="none"/>
              </w:rPr>
              <w:t>分）</w:t>
            </w: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u w:val="none"/>
              </w:rPr>
            </w:pPr>
            <w:r>
              <w:rPr>
                <w:rFonts w:hint="eastAsia" w:ascii="仿宋_GB2312" w:hAnsi="仿宋_GB2312" w:eastAsia="仿宋_GB2312" w:cs="仿宋_GB2312"/>
                <w:b w:val="0"/>
                <w:bCs w:val="0"/>
                <w:color w:val="auto"/>
                <w:sz w:val="24"/>
                <w:u w:val="none"/>
                <w:lang w:eastAsia="zh-CN"/>
              </w:rPr>
              <w:t>（</w:t>
            </w:r>
            <w:r>
              <w:rPr>
                <w:rFonts w:hint="eastAsia" w:ascii="仿宋_GB2312" w:hAnsi="仿宋_GB2312" w:eastAsia="仿宋_GB2312" w:cs="仿宋_GB2312"/>
                <w:b w:val="0"/>
                <w:bCs w:val="0"/>
                <w:color w:val="auto"/>
                <w:sz w:val="24"/>
                <w:u w:val="none"/>
                <w:lang w:val="en-US" w:eastAsia="zh-CN"/>
              </w:rPr>
              <w:t>1</w:t>
            </w:r>
            <w:r>
              <w:rPr>
                <w:rFonts w:hint="eastAsia" w:ascii="仿宋_GB2312" w:hAnsi="仿宋_GB2312" w:eastAsia="仿宋_GB2312" w:cs="仿宋_GB2312"/>
                <w:b w:val="0"/>
                <w:bCs w:val="0"/>
                <w:color w:val="auto"/>
                <w:sz w:val="24"/>
                <w:u w:val="none"/>
                <w:lang w:eastAsia="zh-CN"/>
              </w:rPr>
              <w:t>）《泉州市建筑业高质量发展三年行动方案》：①</w:t>
            </w:r>
            <w:r>
              <w:rPr>
                <w:rFonts w:hint="eastAsia" w:ascii="仿宋_GB2312" w:hAnsi="仿宋_GB2312" w:eastAsia="仿宋_GB2312" w:cs="仿宋_GB2312"/>
                <w:b w:val="0"/>
                <w:bCs w:val="0"/>
                <w:color w:val="auto"/>
                <w:sz w:val="24"/>
                <w:u w:val="none"/>
                <w:lang w:val="en-US" w:eastAsia="zh-CN"/>
              </w:rPr>
              <w:t>2024年全域建筑业产值增速，</w:t>
            </w:r>
            <w:r>
              <w:rPr>
                <w:rFonts w:hint="eastAsia" w:ascii="仿宋_GB2312" w:hAnsi="仿宋_GB2312" w:eastAsia="仿宋_GB2312" w:cs="仿宋_GB2312"/>
                <w:b w:val="0"/>
                <w:bCs w:val="0"/>
                <w:color w:val="auto"/>
                <w:sz w:val="24"/>
                <w:u w:val="none"/>
                <w:lang w:eastAsia="zh-CN"/>
              </w:rPr>
              <w:t>全市前</w:t>
            </w:r>
            <w:r>
              <w:rPr>
                <w:rFonts w:hint="eastAsia" w:ascii="仿宋_GB2312" w:hAnsi="仿宋_GB2312" w:eastAsia="仿宋_GB2312" w:cs="仿宋_GB2312"/>
                <w:b w:val="0"/>
                <w:bCs w:val="0"/>
                <w:color w:val="auto"/>
                <w:sz w:val="24"/>
                <w:u w:val="none"/>
                <w:lang w:val="en-US" w:eastAsia="zh-CN"/>
              </w:rPr>
              <w:t>5名依次得5、4、3、2、1分</w:t>
            </w:r>
            <w:r>
              <w:rPr>
                <w:rFonts w:hint="eastAsia" w:ascii="仿宋_GB2312" w:hAnsi="仿宋_GB2312" w:eastAsia="仿宋_GB2312" w:cs="仿宋_GB2312"/>
                <w:color w:val="auto"/>
                <w:sz w:val="24"/>
                <w:u w:val="none"/>
              </w:rPr>
              <w:t>，其余不得分</w:t>
            </w:r>
            <w:r>
              <w:rPr>
                <w:rFonts w:hint="eastAsia" w:ascii="仿宋_GB2312" w:hAnsi="仿宋_GB2312" w:eastAsia="仿宋_GB2312" w:cs="仿宋_GB2312"/>
                <w:b w:val="0"/>
                <w:bCs w:val="0"/>
                <w:color w:val="auto"/>
                <w:sz w:val="24"/>
                <w:u w:val="none"/>
                <w:lang w:eastAsia="zh-CN"/>
              </w:rPr>
              <w:t>。②</w:t>
            </w:r>
            <w:r>
              <w:rPr>
                <w:rFonts w:hint="eastAsia" w:ascii="仿宋_GB2312" w:hAnsi="仿宋_GB2312" w:eastAsia="仿宋_GB2312" w:cs="仿宋_GB2312"/>
                <w:b w:val="0"/>
                <w:bCs w:val="0"/>
                <w:color w:val="auto"/>
                <w:sz w:val="24"/>
                <w:u w:val="none"/>
                <w:lang w:val="en-US" w:eastAsia="zh-CN"/>
              </w:rPr>
              <w:t>2024年以来招引落地的泉州市外一级以上资质的重点建筑业企业（提供企业资质证书），每提供1家得1分，封顶5分。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44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b w:val="0"/>
                <w:bCs w:val="0"/>
                <w:color w:val="auto"/>
                <w:sz w:val="24"/>
                <w:u w:val="none"/>
                <w:lang w:val="en-US" w:eastAsia="zh-CN"/>
              </w:rPr>
              <w:t>（2）《泉州市房屋市政工程领域招投标不规范影响营商环境专项整治实施方案》</w:t>
            </w:r>
            <w:r>
              <w:rPr>
                <w:rFonts w:hint="eastAsia" w:ascii="仿宋_GB2312" w:hAnsi="仿宋_GB2312" w:eastAsia="仿宋_GB2312" w:cs="仿宋_GB2312"/>
                <w:b w:val="0"/>
                <w:bCs w:val="0"/>
                <w:color w:val="auto"/>
                <w:sz w:val="24"/>
                <w:u w:val="none"/>
                <w:lang w:eastAsia="zh-CN"/>
              </w:rPr>
              <w:t>：</w:t>
            </w:r>
            <w:r>
              <w:rPr>
                <w:rFonts w:hint="eastAsia" w:ascii="仿宋_GB2312" w:hAnsi="仿宋_GB2312" w:eastAsia="仿宋_GB2312" w:cs="仿宋_GB2312"/>
                <w:color w:val="auto"/>
                <w:sz w:val="24"/>
                <w:u w:val="none"/>
                <w:lang w:eastAsia="zh-CN"/>
              </w:rPr>
              <w:t>①完成辖区内</w:t>
            </w:r>
            <w:r>
              <w:rPr>
                <w:rFonts w:hint="eastAsia" w:ascii="仿宋_GB2312" w:hAnsi="仿宋_GB2312" w:eastAsia="仿宋_GB2312" w:cs="仿宋_GB2312"/>
                <w:color w:val="auto"/>
                <w:sz w:val="24"/>
                <w:u w:val="none"/>
                <w:lang w:val="en-US" w:eastAsia="zh-CN"/>
              </w:rPr>
              <w:t>2023年以来招投标项目抽查（不低于10%的比例，提供福建省工程建设领域招投标在线监管平台抽查记录截图、核查结果的问题台账），得5分；</w:t>
            </w:r>
            <w:r>
              <w:rPr>
                <w:rFonts w:hint="eastAsia" w:ascii="仿宋_GB2312" w:hAnsi="仿宋_GB2312" w:eastAsia="仿宋_GB2312" w:cs="仿宋_GB2312"/>
                <w:color w:val="auto"/>
                <w:sz w:val="24"/>
                <w:u w:val="none"/>
                <w:lang w:eastAsia="zh-CN"/>
              </w:rPr>
              <w:t>②完成辖区在建项目建筑市场行为的现场检查（不低于</w:t>
            </w:r>
            <w:r>
              <w:rPr>
                <w:rFonts w:hint="eastAsia" w:ascii="仿宋_GB2312" w:hAnsi="仿宋_GB2312" w:eastAsia="仿宋_GB2312" w:cs="仿宋_GB2312"/>
                <w:color w:val="auto"/>
                <w:sz w:val="24"/>
                <w:u w:val="none"/>
                <w:lang w:val="en-US" w:eastAsia="zh-CN"/>
              </w:rPr>
              <w:t>10%的比例，</w:t>
            </w:r>
            <w:r>
              <w:rPr>
                <w:rFonts w:hint="eastAsia" w:ascii="仿宋_GB2312" w:hAnsi="仿宋_GB2312" w:eastAsia="仿宋_GB2312" w:cs="仿宋_GB2312"/>
                <w:color w:val="auto"/>
                <w:sz w:val="24"/>
                <w:u w:val="none"/>
                <w:lang w:eastAsia="zh-CN"/>
              </w:rPr>
              <w:t>提供现场检查表等佐证材料），得</w:t>
            </w:r>
            <w:r>
              <w:rPr>
                <w:rFonts w:hint="eastAsia" w:ascii="仿宋_GB2312" w:hAnsi="仿宋_GB2312" w:eastAsia="仿宋_GB2312" w:cs="仿宋_GB2312"/>
                <w:color w:val="auto"/>
                <w:sz w:val="24"/>
                <w:u w:val="none"/>
                <w:lang w:val="en-US" w:eastAsia="zh-CN"/>
              </w:rPr>
              <w:t>5分。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lang w:val="en-US" w:eastAsia="zh-CN"/>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pPr>
              <w:numPr>
                <w:ilvl w:val="0"/>
                <w:numId w:val="0"/>
              </w:numPr>
              <w:adjustRightInd w:val="0"/>
              <w:snapToGrid w:val="0"/>
              <w:spacing w:line="320" w:lineRule="exact"/>
              <w:rPr>
                <w:rFonts w:hint="default" w:ascii="Times New Roman" w:hAnsi="Times New Roman" w:eastAsia="宋体" w:cs="Times New Roman"/>
                <w:color w:val="auto"/>
                <w:sz w:val="21"/>
                <w:lang w:val="en-US" w:eastAsia="zh-CN"/>
              </w:rPr>
            </w:pPr>
            <w:r>
              <w:rPr>
                <w:rFonts w:hint="eastAsia" w:ascii="仿宋_GB2312" w:hAnsi="仿宋_GB2312" w:eastAsia="仿宋_GB2312" w:cs="仿宋_GB2312"/>
                <w:color w:val="auto"/>
                <w:sz w:val="24"/>
                <w:u w:val="none"/>
                <w:lang w:val="en-US" w:eastAsia="zh-CN"/>
              </w:rPr>
              <w:t>（3）安全生产专项行动（</w:t>
            </w:r>
            <w:r>
              <w:rPr>
                <w:rFonts w:hint="eastAsia" w:ascii="仿宋_GB2312" w:hAnsi="仿宋_GB2312" w:eastAsia="仿宋_GB2312" w:cs="仿宋_GB2312"/>
                <w:color w:val="auto"/>
                <w:sz w:val="24"/>
                <w:lang w:val="en-US" w:eastAsia="zh-CN"/>
              </w:rPr>
              <w:t>4分</w:t>
            </w:r>
            <w:r>
              <w:rPr>
                <w:rFonts w:hint="eastAsia" w:ascii="仿宋_GB2312" w:hAnsi="仿宋_GB2312" w:eastAsia="仿宋_GB2312" w:cs="仿宋_GB2312"/>
                <w:color w:val="auto"/>
                <w:sz w:val="24"/>
                <w:u w:val="none"/>
                <w:lang w:val="en-US" w:eastAsia="zh-CN"/>
              </w:rPr>
              <w:t>）。①有传达部署“住建领域安全生产治本攻坚三年行动”和“房屋市政工程安全生产治本攻坚三年行动”，得1分。</w:t>
            </w:r>
            <w:r>
              <w:rPr>
                <w:rFonts w:hint="default" w:ascii="仿宋_GB2312" w:hAnsi="仿宋_GB2312" w:eastAsia="仿宋_GB2312" w:cs="仿宋_GB2312"/>
                <w:color w:val="auto"/>
                <w:sz w:val="24"/>
                <w:u w:val="none"/>
                <w:lang w:val="en-US" w:eastAsia="zh-CN"/>
              </w:rPr>
              <w:t>②</w:t>
            </w:r>
            <w:r>
              <w:rPr>
                <w:rFonts w:hint="eastAsia" w:ascii="仿宋_GB2312" w:hAnsi="仿宋_GB2312" w:eastAsia="仿宋_GB2312" w:cs="仿宋_GB2312"/>
                <w:color w:val="auto"/>
                <w:sz w:val="24"/>
                <w:u w:val="none"/>
                <w:lang w:val="en-US" w:eastAsia="zh-CN"/>
              </w:rPr>
              <w:t>有传达部署“落实全员安全生产责任制，加强企业安全生产能力建设”，开展安全生产标准化提升固本强基“十百千万”示范工程标杆企业和示范岗位创建的，得1分。</w:t>
            </w:r>
            <w:r>
              <w:rPr>
                <w:rFonts w:hint="default" w:ascii="仿宋_GB2312" w:hAnsi="仿宋_GB2312" w:eastAsia="仿宋_GB2312" w:cs="仿宋_GB2312"/>
                <w:color w:val="auto"/>
                <w:sz w:val="24"/>
                <w:u w:val="none"/>
                <w:lang w:val="en-US" w:eastAsia="zh-CN"/>
              </w:rPr>
              <w:t>③</w:t>
            </w:r>
            <w:r>
              <w:rPr>
                <w:rFonts w:hint="eastAsia" w:ascii="仿宋_GB2312" w:hAnsi="仿宋_GB2312" w:eastAsia="仿宋_GB2312" w:cs="仿宋_GB2312"/>
                <w:color w:val="auto"/>
                <w:sz w:val="24"/>
                <w:u w:val="none"/>
                <w:lang w:val="en-US" w:eastAsia="zh-CN"/>
              </w:rPr>
              <w:t>安全生产治本攻坚三年行动2024年各项工作任务有序推进的，得1分（提供进展情况表）。④有落实典型案例公布曝光的，得1分。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0"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pPr>
              <w:numPr>
                <w:ilvl w:val="0"/>
                <w:numId w:val="0"/>
              </w:numPr>
              <w:adjustRightInd w:val="0"/>
              <w:snapToGrid w:val="0"/>
              <w:spacing w:line="320" w:lineRule="exact"/>
              <w:rPr>
                <w:rFonts w:hint="default" w:ascii="Times New Roman" w:hAnsi="Times New Roman" w:eastAsia="宋体" w:cs="Times New Roman"/>
                <w:color w:val="auto"/>
                <w:sz w:val="21"/>
                <w:lang w:val="en-US" w:eastAsia="zh-CN"/>
              </w:rPr>
            </w:pPr>
            <w:r>
              <w:rPr>
                <w:rFonts w:hint="eastAsia" w:ascii="仿宋_GB2312" w:hAnsi="仿宋_GB2312" w:eastAsia="仿宋_GB2312" w:cs="仿宋_GB2312"/>
                <w:color w:val="auto"/>
                <w:sz w:val="24"/>
                <w:u w:val="none"/>
                <w:lang w:val="en-US" w:eastAsia="zh-CN"/>
              </w:rPr>
              <w:t>（4）“一月一专题”专项行动（</w:t>
            </w:r>
            <w:r>
              <w:rPr>
                <w:rFonts w:hint="eastAsia" w:ascii="仿宋_GB2312" w:hAnsi="仿宋_GB2312" w:eastAsia="仿宋_GB2312" w:cs="仿宋_GB2312"/>
                <w:color w:val="auto"/>
                <w:sz w:val="24"/>
                <w:lang w:val="en-US" w:eastAsia="zh-CN"/>
              </w:rPr>
              <w:t>5分</w:t>
            </w:r>
            <w:r>
              <w:rPr>
                <w:rFonts w:hint="eastAsia" w:ascii="仿宋_GB2312" w:hAnsi="仿宋_GB2312" w:eastAsia="仿宋_GB2312" w:cs="仿宋_GB2312"/>
                <w:color w:val="auto"/>
                <w:sz w:val="24"/>
                <w:u w:val="none"/>
                <w:lang w:val="en-US" w:eastAsia="zh-CN"/>
              </w:rPr>
              <w:t>）。</w:t>
            </w:r>
            <w:r>
              <w:rPr>
                <w:rFonts w:hint="default" w:ascii="仿宋_GB2312" w:hAnsi="仿宋_GB2312" w:eastAsia="仿宋_GB2312" w:cs="仿宋_GB2312"/>
                <w:color w:val="auto"/>
                <w:sz w:val="24"/>
                <w:u w:val="none"/>
                <w:lang w:val="en-US" w:eastAsia="zh-CN"/>
              </w:rPr>
              <w:t>①</w:t>
            </w:r>
            <w:r>
              <w:rPr>
                <w:rFonts w:hint="eastAsia" w:ascii="仿宋_GB2312" w:hAnsi="仿宋_GB2312" w:eastAsia="仿宋_GB2312" w:cs="仿宋_GB2312"/>
                <w:color w:val="auto"/>
                <w:sz w:val="24"/>
                <w:u w:val="none"/>
                <w:lang w:val="en-US" w:eastAsia="zh-CN"/>
              </w:rPr>
              <w:t>(查阅相关资料和现场了解)有及时传达部署“爬架吊篮安全”“关键岗位人员到岗暨施工现场消防安全”“强化监理履职”“规范建机安拆”“高处作业安全”专题行动的，得1分。</w:t>
            </w:r>
            <w:r>
              <w:rPr>
                <w:rFonts w:hint="default" w:ascii="仿宋_GB2312" w:hAnsi="仿宋_GB2312" w:eastAsia="仿宋_GB2312" w:cs="仿宋_GB2312"/>
                <w:color w:val="auto"/>
                <w:sz w:val="24"/>
                <w:u w:val="none"/>
                <w:lang w:val="en-US" w:eastAsia="zh-CN"/>
              </w:rPr>
              <w:t>②</w:t>
            </w:r>
            <w:r>
              <w:rPr>
                <w:rFonts w:hint="eastAsia" w:ascii="仿宋_GB2312" w:hAnsi="仿宋_GB2312" w:eastAsia="仿宋_GB2312" w:cs="仿宋_GB2312"/>
                <w:color w:val="auto"/>
                <w:sz w:val="24"/>
                <w:u w:val="none"/>
                <w:lang w:val="en-US" w:eastAsia="zh-CN"/>
              </w:rPr>
              <w:t>在各专题行动中有采取信用记分、处罚等措施的，得1分。</w:t>
            </w:r>
            <w:r>
              <w:rPr>
                <w:rFonts w:hint="default" w:ascii="仿宋_GB2312" w:hAnsi="仿宋_GB2312" w:eastAsia="仿宋_GB2312" w:cs="仿宋_GB2312"/>
                <w:color w:val="auto"/>
                <w:sz w:val="24"/>
                <w:u w:val="none"/>
                <w:lang w:val="en-US" w:eastAsia="zh-CN"/>
              </w:rPr>
              <w:t>③</w:t>
            </w:r>
            <w:r>
              <w:rPr>
                <w:rFonts w:hint="eastAsia" w:ascii="仿宋_GB2312" w:hAnsi="仿宋_GB2312" w:eastAsia="仿宋_GB2312" w:cs="仿宋_GB2312"/>
                <w:color w:val="auto"/>
                <w:sz w:val="24"/>
                <w:u w:val="none"/>
                <w:lang w:val="en-US" w:eastAsia="zh-CN"/>
              </w:rPr>
              <w:t>受检项目未发现建机存在重大事故隐患的，得1分。④受检项目未发现涉及洞口临边防护和高处作业安全方面问题隐患的，得1分。⑤有及时将省厅制定的施工安全宣传手册传达到项目一线的，得1分。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pPr>
              <w:adjustRightInd w:val="0"/>
              <w:snapToGrid w:val="0"/>
              <w:spacing w:line="320" w:lineRule="exact"/>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（5）安全检查系统（</w:t>
            </w:r>
            <w:r>
              <w:rPr>
                <w:rFonts w:hint="eastAsia" w:ascii="仿宋_GB2312" w:hAnsi="仿宋_GB2312" w:eastAsia="仿宋_GB2312" w:cs="仿宋_GB2312"/>
                <w:color w:val="auto"/>
                <w:sz w:val="24"/>
                <w:lang w:val="en-US" w:eastAsia="zh-CN"/>
              </w:rPr>
              <w:t>6分，</w:t>
            </w:r>
            <w:r>
              <w:rPr>
                <w:rFonts w:hint="eastAsia" w:ascii="仿宋_GB2312" w:hAnsi="仿宋_GB2312" w:eastAsia="仿宋_GB2312" w:cs="仿宋_GB2312"/>
                <w:color w:val="auto"/>
                <w:sz w:val="24"/>
                <w:u w:val="none"/>
                <w:lang w:val="en-US" w:eastAsia="zh-CN"/>
              </w:rPr>
              <w:t>以5月份和6月份数据为准）</w:t>
            </w:r>
          </w:p>
          <w:p>
            <w:p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default" w:ascii="仿宋_GB2312" w:hAnsi="仿宋_GB2312" w:eastAsia="仿宋_GB2312" w:cs="仿宋_GB2312"/>
                <w:color w:val="auto"/>
                <w:sz w:val="24"/>
                <w:u w:val="none"/>
                <w:lang w:val="en-US" w:eastAsia="zh-CN"/>
              </w:rPr>
              <w:t>①</w:t>
            </w:r>
            <w:r>
              <w:rPr>
                <w:rFonts w:hint="eastAsia" w:ascii="仿宋_GB2312" w:hAnsi="仿宋_GB2312" w:eastAsia="仿宋_GB2312" w:cs="仿宋_GB2312"/>
                <w:color w:val="auto"/>
                <w:sz w:val="24"/>
                <w:u w:val="none"/>
                <w:lang w:val="en-US" w:eastAsia="zh-CN"/>
              </w:rPr>
              <w:t>关键岗位人员打卡完成率有排名全市前三的，得1分。</w:t>
            </w:r>
          </w:p>
          <w:p>
            <w:pPr>
              <w:adjustRightInd w:val="0"/>
              <w:snapToGrid w:val="0"/>
              <w:spacing w:line="320" w:lineRule="exact"/>
              <w:rPr>
                <w:rFonts w:hint="default" w:ascii="仿宋_GB2312" w:hAnsi="仿宋_GB2312" w:eastAsia="仿宋_GB2312" w:cs="仿宋_GB2312"/>
                <w:color w:val="auto"/>
                <w:sz w:val="24"/>
                <w:u w:val="none"/>
                <w:lang w:val="en-US" w:eastAsia="zh-CN"/>
              </w:rPr>
            </w:pPr>
            <w:r>
              <w:rPr>
                <w:rFonts w:hint="default" w:ascii="仿宋_GB2312" w:hAnsi="仿宋_GB2312" w:eastAsia="仿宋_GB2312" w:cs="仿宋_GB2312"/>
                <w:color w:val="auto"/>
                <w:sz w:val="24"/>
                <w:u w:val="none"/>
                <w:lang w:val="en-US" w:eastAsia="zh-CN"/>
              </w:rPr>
              <w:t>②</w:t>
            </w:r>
            <w:r>
              <w:rPr>
                <w:rFonts w:hint="eastAsia" w:ascii="仿宋_GB2312" w:hAnsi="仿宋_GB2312" w:eastAsia="仿宋_GB2312" w:cs="仿宋_GB2312"/>
                <w:color w:val="auto"/>
                <w:sz w:val="24"/>
                <w:u w:val="none"/>
                <w:lang w:val="en-US" w:eastAsia="zh-CN"/>
              </w:rPr>
              <w:t>建设单位安全检查完成率有排名全市前三的，得1分。</w:t>
            </w:r>
          </w:p>
          <w:p>
            <w:p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default" w:ascii="仿宋_GB2312" w:hAnsi="仿宋_GB2312" w:eastAsia="仿宋_GB2312" w:cs="仿宋_GB2312"/>
                <w:color w:val="auto"/>
                <w:sz w:val="24"/>
                <w:u w:val="none"/>
                <w:lang w:val="en-US" w:eastAsia="zh-CN"/>
              </w:rPr>
              <w:t>③</w:t>
            </w:r>
            <w:r>
              <w:rPr>
                <w:rFonts w:hint="eastAsia" w:ascii="仿宋_GB2312" w:hAnsi="仿宋_GB2312" w:eastAsia="仿宋_GB2312" w:cs="仿宋_GB2312"/>
                <w:color w:val="auto"/>
                <w:sz w:val="24"/>
                <w:u w:val="none"/>
                <w:lang w:val="en-US" w:eastAsia="zh-CN"/>
              </w:rPr>
              <w:t>施工单位项目负责人自查完成率有排名全市前三的，得1分。</w:t>
            </w:r>
          </w:p>
          <w:p>
            <w:p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④施工单位企业负责人自查完成率有排名全市前三的，得1分。</w:t>
            </w:r>
          </w:p>
          <w:p>
            <w:p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⑤监理单位负责人自查完成率有排名全市前三的，得1分。</w:t>
            </w:r>
          </w:p>
          <w:p>
            <w:pPr>
              <w:adjustRightInd w:val="0"/>
              <w:snapToGrid w:val="0"/>
              <w:spacing w:line="320" w:lineRule="exact"/>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⑥对未按规定频次开展安全检查落实监管记分的，得1分。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pPr>
              <w:adjustRightInd w:val="0"/>
              <w:snapToGrid w:val="0"/>
              <w:spacing w:line="320" w:lineRule="exact"/>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（6）防汛备汛工作（</w:t>
            </w:r>
            <w:r>
              <w:rPr>
                <w:rFonts w:hint="eastAsia" w:ascii="仿宋_GB2312" w:hAnsi="仿宋_GB2312" w:eastAsia="仿宋_GB2312" w:cs="仿宋_GB2312"/>
                <w:color w:val="auto"/>
                <w:sz w:val="24"/>
                <w:lang w:val="en-US" w:eastAsia="zh-CN"/>
              </w:rPr>
              <w:t>3分</w:t>
            </w:r>
            <w:r>
              <w:rPr>
                <w:rFonts w:hint="eastAsia" w:ascii="仿宋_GB2312" w:hAnsi="仿宋_GB2312" w:eastAsia="仿宋_GB2312" w:cs="仿宋_GB2312"/>
                <w:color w:val="auto"/>
                <w:sz w:val="24"/>
                <w:u w:val="none"/>
                <w:lang w:val="en-US" w:eastAsia="zh-CN"/>
              </w:rPr>
              <w:t>）。①防汛防台风预案有及时更新修订的，得1分。②有梳理建立2024年住建系统应急抢险队伍的，得1分。</w:t>
            </w:r>
            <w:r>
              <w:rPr>
                <w:rFonts w:hint="default" w:ascii="仿宋_GB2312" w:hAnsi="仿宋_GB2312" w:eastAsia="仿宋_GB2312" w:cs="仿宋_GB2312"/>
                <w:color w:val="auto"/>
                <w:sz w:val="24"/>
                <w:u w:val="none"/>
                <w:lang w:val="en-US" w:eastAsia="zh-CN"/>
              </w:rPr>
              <w:t>③</w:t>
            </w:r>
            <w:r>
              <w:rPr>
                <w:rFonts w:hint="eastAsia" w:ascii="仿宋_GB2312" w:hAnsi="仿宋_GB2312" w:eastAsia="仿宋_GB2312" w:cs="仿宋_GB2312"/>
                <w:color w:val="auto"/>
                <w:sz w:val="24"/>
                <w:u w:val="none"/>
                <w:lang w:val="en-US" w:eastAsia="zh-CN"/>
              </w:rPr>
              <w:t>有制定文件传达部署工程防汛安全，组织开展防汛安全检查的，得1分。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lang w:val="en-US" w:eastAsia="zh-CN"/>
              </w:rPr>
            </w:pPr>
          </w:p>
        </w:tc>
        <w:tc>
          <w:tcPr>
            <w:tcW w:w="7087" w:type="dxa"/>
            <w:noWrap w:val="0"/>
            <w:vAlign w:val="center"/>
          </w:tcPr>
          <w:p>
            <w:pPr>
              <w:adjustRightInd w:val="0"/>
              <w:snapToGrid w:val="0"/>
              <w:spacing w:line="320" w:lineRule="exact"/>
              <w:rPr>
                <w:rFonts w:hint="default" w:ascii="仿宋_GB2312" w:hAnsi="仿宋_GB2312" w:eastAsia="仿宋_GB2312" w:cs="仿宋_GB2312"/>
                <w:color w:val="auto"/>
                <w:sz w:val="24"/>
                <w:u w:val="single"/>
                <w:lang w:val="en-US" w:eastAsia="zh-CN"/>
              </w:rPr>
            </w:pPr>
            <w:r>
              <w:rPr>
                <w:rFonts w:hint="eastAsia" w:ascii="仿宋_GB2312" w:hAnsi="仿宋_GB2312" w:eastAsia="仿宋_GB2312" w:cs="仿宋_GB2312"/>
                <w:color w:val="auto"/>
                <w:sz w:val="24"/>
                <w:u w:val="none"/>
                <w:lang w:val="en-US" w:eastAsia="zh-CN"/>
              </w:rPr>
              <w:t>（7）</w:t>
            </w:r>
            <w:r>
              <w:rPr>
                <w:rFonts w:hint="eastAsia" w:ascii="仿宋_GB2312" w:hAnsi="仿宋_GB2312" w:eastAsia="仿宋_GB2312" w:cs="仿宋_GB2312"/>
                <w:b w:val="0"/>
                <w:bCs w:val="0"/>
                <w:color w:val="auto"/>
                <w:sz w:val="24"/>
                <w:u w:val="none"/>
                <w:lang w:val="en-US" w:eastAsia="zh-CN"/>
              </w:rPr>
              <w:t>《泉州市小散工程安全生产纳管暂行规定》（</w:t>
            </w:r>
            <w:r>
              <w:rPr>
                <w:rFonts w:hint="eastAsia" w:ascii="仿宋_GB2312" w:hAnsi="仿宋_GB2312" w:eastAsia="仿宋_GB2312" w:cs="仿宋_GB2312"/>
                <w:color w:val="auto"/>
                <w:sz w:val="24"/>
                <w:lang w:val="en-US" w:eastAsia="zh-CN"/>
              </w:rPr>
              <w:t>2分</w:t>
            </w:r>
            <w:r>
              <w:rPr>
                <w:rFonts w:hint="eastAsia" w:ascii="仿宋_GB2312" w:hAnsi="仿宋_GB2312" w:eastAsia="仿宋_GB2312" w:cs="仿宋_GB2312"/>
                <w:b w:val="0"/>
                <w:bCs w:val="0"/>
                <w:color w:val="auto"/>
                <w:sz w:val="24"/>
                <w:u w:val="none"/>
                <w:lang w:val="en-US" w:eastAsia="zh-CN"/>
              </w:rPr>
              <w:t>）</w:t>
            </w:r>
            <w:r>
              <w:rPr>
                <w:rFonts w:hint="eastAsia" w:ascii="仿宋_GB2312" w:hAnsi="仿宋_GB2312" w:eastAsia="仿宋_GB2312" w:cs="仿宋_GB2312"/>
                <w:color w:val="auto"/>
                <w:sz w:val="24"/>
                <w:u w:val="none"/>
                <w:lang w:val="en-US" w:eastAsia="zh-CN"/>
              </w:rPr>
              <w:t>：</w:t>
            </w:r>
            <w:r>
              <w:rPr>
                <w:rFonts w:hint="eastAsia" w:ascii="仿宋_GB2312" w:hAnsi="仿宋_GB2312" w:eastAsia="仿宋_GB2312" w:cs="仿宋_GB2312"/>
                <w:color w:val="auto"/>
                <w:sz w:val="24"/>
                <w:u w:val="none"/>
              </w:rPr>
              <w:t>①</w:t>
            </w:r>
            <w:r>
              <w:rPr>
                <w:rFonts w:hint="eastAsia" w:ascii="仿宋_GB2312" w:hAnsi="仿宋_GB2312" w:eastAsia="仿宋_GB2312" w:cs="仿宋_GB2312"/>
                <w:color w:val="auto"/>
                <w:sz w:val="24"/>
                <w:u w:val="none"/>
                <w:lang w:val="en-US" w:eastAsia="zh-CN"/>
              </w:rPr>
              <w:t>有2024年小散工程信息登记台账、乡镇（街道）有组织开展小散工程安全巡查的，得1分。</w:t>
            </w:r>
            <w:r>
              <w:rPr>
                <w:rFonts w:hint="eastAsia" w:ascii="仿宋_GB2312" w:hAnsi="仿宋_GB2312" w:eastAsia="仿宋_GB2312" w:cs="仿宋_GB2312"/>
                <w:color w:val="auto"/>
                <w:sz w:val="24"/>
                <w:u w:val="none"/>
              </w:rPr>
              <w:t>②</w:t>
            </w:r>
            <w:r>
              <w:rPr>
                <w:rFonts w:hint="eastAsia" w:ascii="仿宋_GB2312" w:hAnsi="仿宋_GB2312" w:eastAsia="仿宋_GB2312" w:cs="仿宋_GB2312"/>
                <w:color w:val="auto"/>
                <w:sz w:val="24"/>
                <w:u w:val="none"/>
                <w:lang w:val="en-US" w:eastAsia="zh-CN"/>
              </w:rPr>
              <w:t>2024年</w:t>
            </w:r>
            <w:r>
              <w:rPr>
                <w:rFonts w:hint="eastAsia" w:ascii="仿宋_GB2312" w:hAnsi="仿宋_GB2312" w:eastAsia="仿宋_GB2312" w:cs="仿宋_GB2312"/>
                <w:color w:val="auto"/>
                <w:sz w:val="24"/>
                <w:u w:val="none"/>
              </w:rPr>
              <w:t>对乡镇（街道）</w:t>
            </w:r>
            <w:r>
              <w:rPr>
                <w:rFonts w:hint="eastAsia" w:ascii="仿宋_GB2312" w:hAnsi="仿宋_GB2312" w:eastAsia="仿宋_GB2312" w:cs="仿宋_GB2312"/>
                <w:color w:val="auto"/>
                <w:sz w:val="24"/>
                <w:u w:val="none"/>
                <w:lang w:val="en-US" w:eastAsia="zh-CN"/>
              </w:rPr>
              <w:t>小散纳管登记和巡查情况</w:t>
            </w:r>
            <w:r>
              <w:rPr>
                <w:rFonts w:hint="eastAsia" w:ascii="仿宋_GB2312" w:hAnsi="仿宋_GB2312" w:eastAsia="仿宋_GB2312" w:cs="仿宋_GB2312"/>
                <w:color w:val="auto"/>
                <w:sz w:val="24"/>
                <w:u w:val="none"/>
              </w:rPr>
              <w:t>开展1次检查</w:t>
            </w:r>
            <w:r>
              <w:rPr>
                <w:rFonts w:hint="eastAsia" w:ascii="仿宋_GB2312" w:hAnsi="仿宋_GB2312" w:eastAsia="仿宋_GB2312" w:cs="仿宋_GB2312"/>
                <w:color w:val="auto"/>
                <w:sz w:val="24"/>
                <w:u w:val="none"/>
                <w:lang w:val="en-US" w:eastAsia="zh-CN"/>
              </w:rPr>
              <w:t>或组织全面培训的，</w:t>
            </w:r>
            <w:r>
              <w:rPr>
                <w:rFonts w:hint="eastAsia" w:ascii="仿宋_GB2312" w:hAnsi="仿宋_GB2312" w:eastAsia="仿宋_GB2312" w:cs="仿宋_GB2312"/>
                <w:color w:val="auto"/>
                <w:sz w:val="24"/>
                <w:u w:val="none"/>
              </w:rPr>
              <w:t>得</w:t>
            </w:r>
            <w:r>
              <w:rPr>
                <w:rFonts w:hint="eastAsia" w:ascii="仿宋_GB2312" w:hAnsi="仿宋_GB2312" w:eastAsia="仿宋_GB2312" w:cs="仿宋_GB2312"/>
                <w:color w:val="auto"/>
                <w:sz w:val="24"/>
                <w:u w:val="none"/>
                <w:lang w:val="en-US" w:eastAsia="zh-CN"/>
              </w:rPr>
              <w:t>0.5</w:t>
            </w:r>
            <w:r>
              <w:rPr>
                <w:rFonts w:hint="eastAsia" w:ascii="仿宋_GB2312" w:hAnsi="仿宋_GB2312" w:eastAsia="仿宋_GB2312" w:cs="仿宋_GB2312"/>
                <w:color w:val="auto"/>
                <w:sz w:val="24"/>
                <w:u w:val="none"/>
              </w:rPr>
              <w:t>分</w:t>
            </w:r>
            <w:r>
              <w:rPr>
                <w:rFonts w:ascii="仿宋_GB2312" w:hAnsi="仿宋_GB2312" w:eastAsia="仿宋_GB2312" w:cs="仿宋_GB2312"/>
                <w:color w:val="auto"/>
                <w:sz w:val="24"/>
                <w:u w:val="none"/>
              </w:rPr>
              <w:t>。</w:t>
            </w:r>
            <w:r>
              <w:rPr>
                <w:rFonts w:hint="default" w:ascii="仿宋_GB2312" w:hAnsi="仿宋_GB2312" w:eastAsia="仿宋_GB2312" w:cs="仿宋_GB2312"/>
                <w:color w:val="auto"/>
                <w:sz w:val="24"/>
                <w:u w:val="none"/>
                <w:lang w:val="en-US" w:eastAsia="zh-CN"/>
              </w:rPr>
              <w:t>③</w:t>
            </w:r>
            <w:r>
              <w:rPr>
                <w:rFonts w:hint="eastAsia" w:ascii="仿宋_GB2312" w:hAnsi="仿宋_GB2312" w:eastAsia="仿宋_GB2312" w:cs="仿宋_GB2312"/>
                <w:color w:val="auto"/>
                <w:sz w:val="24"/>
                <w:u w:val="none"/>
                <w:lang w:val="en-US" w:eastAsia="zh-CN"/>
              </w:rPr>
              <w:t>有将发现的涉及其他部门管理的违法违规行为书面进行抄告的，得0.5分。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_GB2312" w:hAnsi="仿宋_GB2312" w:eastAsia="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441" w:type="dxa"/>
            <w:vMerge w:val="restart"/>
            <w:noWrap w:val="0"/>
            <w:vAlign w:val="center"/>
          </w:tcPr>
          <w:p>
            <w:pPr>
              <w:spacing w:line="3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261" w:type="dxa"/>
            <w:vMerge w:val="restart"/>
            <w:noWrap w:val="0"/>
            <w:vAlign w:val="center"/>
          </w:tcPr>
          <w:p>
            <w:pPr>
              <w:adjustRightInd w:val="0"/>
              <w:snapToGrid w:val="0"/>
              <w:spacing w:line="32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招标文件备案审查</w:t>
            </w:r>
          </w:p>
          <w:p>
            <w:pPr>
              <w:adjustRightInd w:val="0"/>
              <w:snapToGrid w:val="0"/>
              <w:spacing w:line="32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20</w:t>
            </w:r>
            <w:r>
              <w:rPr>
                <w:rFonts w:hint="eastAsia" w:ascii="仿宋_GB2312" w:hAnsi="仿宋_GB2312" w:eastAsia="仿宋_GB2312" w:cs="仿宋_GB2312"/>
                <w:color w:val="auto"/>
                <w:sz w:val="24"/>
                <w:highlight w:val="none"/>
              </w:rPr>
              <w:t>分）</w:t>
            </w: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）未发现招标投标书面报告备案时限超过规定期限的，得</w:t>
            </w:r>
            <w:r>
              <w:rPr>
                <w:rFonts w:hint="eastAsia" w:ascii="仿宋_GB2312" w:hAnsi="仿宋_GB2312" w:eastAsia="仿宋_GB2312" w:cs="仿宋_GB2312"/>
                <w:color w:val="auto"/>
                <w:sz w:val="24"/>
                <w:highlight w:val="none"/>
                <w:lang w:val="en-US" w:eastAsia="zh-CN"/>
              </w:rPr>
              <w:t>5分；每出现1次</w:t>
            </w:r>
            <w:r>
              <w:rPr>
                <w:rFonts w:hint="eastAsia" w:ascii="仿宋_GB2312" w:hAnsi="仿宋_GB2312" w:eastAsia="仿宋_GB2312" w:cs="仿宋_GB2312"/>
                <w:color w:val="auto"/>
                <w:sz w:val="24"/>
                <w:highlight w:val="none"/>
                <w:lang w:eastAsia="zh-CN"/>
              </w:rPr>
              <w:t>扣2分，封顶扣</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44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）各县（市、区）公开招投标的房建市政项目，提供202</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年招标文件书面整改反馈的数量、全年招投标备案项目数量，前者除以后者，</w:t>
            </w:r>
            <w:r>
              <w:rPr>
                <w:rFonts w:hint="eastAsia" w:ascii="仿宋_GB2312" w:hAnsi="仿宋_GB2312" w:eastAsia="仿宋_GB2312" w:cs="仿宋_GB2312"/>
                <w:b w:val="0"/>
                <w:bCs w:val="0"/>
                <w:color w:val="auto"/>
                <w:sz w:val="24"/>
                <w:lang w:eastAsia="zh-CN"/>
              </w:rPr>
              <w:t>全市前</w:t>
            </w:r>
            <w:r>
              <w:rPr>
                <w:rFonts w:hint="eastAsia" w:ascii="仿宋_GB2312" w:hAnsi="仿宋_GB2312" w:eastAsia="仿宋_GB2312" w:cs="仿宋_GB2312"/>
                <w:b w:val="0"/>
                <w:bCs w:val="0"/>
                <w:color w:val="auto"/>
                <w:sz w:val="24"/>
                <w:lang w:val="en-US" w:eastAsia="zh-CN"/>
              </w:rPr>
              <w:t>5名依次得5、4、3、2、1分</w:t>
            </w:r>
            <w:r>
              <w:rPr>
                <w:rFonts w:hint="eastAsia" w:ascii="仿宋_GB2312" w:hAnsi="仿宋_GB2312" w:eastAsia="仿宋_GB2312" w:cs="仿宋_GB2312"/>
                <w:color w:val="auto"/>
                <w:sz w:val="24"/>
              </w:rPr>
              <w:t>，其余不得分</w:t>
            </w:r>
            <w:r>
              <w:rPr>
                <w:rFonts w:hint="eastAsia" w:ascii="仿宋_GB2312" w:hAnsi="仿宋_GB2312" w:eastAsia="仿宋_GB2312" w:cs="仿宋_GB2312"/>
                <w:b w:val="0"/>
                <w:bCs w:val="0"/>
                <w:color w:val="auto"/>
                <w:sz w:val="24"/>
                <w:lang w:eastAsia="zh-CN"/>
              </w:rPr>
              <w:t>。</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lang w:eastAsia="zh-CN"/>
              </w:rPr>
              <w:t>）提供投诉处理台账的（无投诉的，需出具本辖区</w:t>
            </w:r>
            <w:r>
              <w:rPr>
                <w:rFonts w:hint="eastAsia" w:ascii="仿宋_GB2312" w:hAnsi="仿宋_GB2312" w:eastAsia="仿宋_GB2312" w:cs="仿宋_GB2312"/>
                <w:color w:val="auto"/>
                <w:sz w:val="24"/>
                <w:highlight w:val="none"/>
                <w:lang w:val="en-US" w:eastAsia="zh-CN"/>
              </w:rPr>
              <w:t>2024</w:t>
            </w:r>
            <w:r>
              <w:rPr>
                <w:rFonts w:hint="eastAsia" w:ascii="仿宋_GB2312" w:hAnsi="仿宋_GB2312" w:eastAsia="仿宋_GB2312" w:cs="仿宋_GB2312"/>
                <w:color w:val="auto"/>
                <w:sz w:val="24"/>
                <w:highlight w:val="none"/>
                <w:lang w:eastAsia="zh-CN"/>
              </w:rPr>
              <w:t>年无投诉证明），得5分。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4</w:t>
            </w:r>
            <w:r>
              <w:rPr>
                <w:rFonts w:hint="eastAsia" w:ascii="仿宋_GB2312" w:hAnsi="仿宋_GB2312" w:eastAsia="仿宋_GB2312" w:cs="仿宋_GB2312"/>
                <w:color w:val="auto"/>
                <w:sz w:val="24"/>
                <w:highlight w:val="none"/>
                <w:u w:val="none"/>
                <w:lang w:eastAsia="zh-CN"/>
              </w:rPr>
              <w:t>）投诉处理均能落实闭环的，</w:t>
            </w:r>
            <w:r>
              <w:rPr>
                <w:rFonts w:hint="eastAsia" w:ascii="仿宋_GB2312" w:hAnsi="仿宋_GB2312" w:eastAsia="仿宋_GB2312" w:cs="仿宋_GB2312"/>
                <w:color w:val="auto"/>
                <w:sz w:val="24"/>
                <w:highlight w:val="none"/>
                <w:lang w:eastAsia="zh-CN"/>
              </w:rPr>
              <w:t>得</w:t>
            </w:r>
            <w:r>
              <w:rPr>
                <w:rFonts w:hint="eastAsia" w:ascii="仿宋_GB2312" w:hAnsi="仿宋_GB2312" w:eastAsia="仿宋_GB2312" w:cs="仿宋_GB2312"/>
                <w:color w:val="auto"/>
                <w:sz w:val="24"/>
                <w:highlight w:val="none"/>
                <w:lang w:val="en-US" w:eastAsia="zh-CN"/>
              </w:rPr>
              <w:t>5分；每出现1次</w:t>
            </w:r>
            <w:r>
              <w:rPr>
                <w:rFonts w:hint="eastAsia" w:ascii="仿宋_GB2312" w:hAnsi="仿宋_GB2312" w:eastAsia="仿宋_GB2312" w:cs="仿宋_GB2312"/>
                <w:color w:val="auto"/>
                <w:sz w:val="24"/>
                <w:highlight w:val="none"/>
                <w:lang w:eastAsia="zh-CN"/>
              </w:rPr>
              <w:t>扣2分，封顶扣</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highlight w:val="none"/>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p>
        </w:tc>
        <w:tc>
          <w:tcPr>
            <w:tcW w:w="827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仿宋_GB2312" w:hAnsi="仿宋_GB2312" w:eastAsia="仿宋_GB2312" w:cs="仿宋_GB2312"/>
                <w:color w:val="auto"/>
                <w:sz w:val="24"/>
                <w:highlight w:val="none"/>
                <w:u w:val="none"/>
                <w:lang w:val="en-US" w:eastAsia="zh-CN"/>
              </w:rPr>
            </w:pPr>
            <w:r>
              <w:rPr>
                <w:rFonts w:hint="eastAsia" w:ascii="楷体_GB2312" w:hAnsi="楷体_GB2312" w:eastAsia="楷体_GB2312" w:cs="楷体_GB2312"/>
                <w:color w:val="auto"/>
                <w:sz w:val="24"/>
                <w:highlight w:val="none"/>
                <w:u w:val="none"/>
                <w:lang w:eastAsia="zh-CN"/>
              </w:rPr>
              <w:t>备注：每个检查组应至少抽取</w:t>
            </w:r>
            <w:r>
              <w:rPr>
                <w:rFonts w:hint="eastAsia" w:ascii="楷体_GB2312" w:hAnsi="楷体_GB2312" w:eastAsia="楷体_GB2312" w:cs="楷体_GB2312"/>
                <w:color w:val="auto"/>
                <w:sz w:val="24"/>
                <w:highlight w:val="none"/>
                <w:u w:val="none"/>
                <w:lang w:val="en-US" w:eastAsia="zh-CN"/>
              </w:rPr>
              <w:t>1个“投建营”或EPC项目进行招标文件检查。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441" w:type="dxa"/>
            <w:vMerge w:val="restart"/>
            <w:noWrap w:val="0"/>
            <w:vAlign w:val="center"/>
          </w:tcPr>
          <w:p>
            <w:pPr>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w:t>
            </w:r>
          </w:p>
        </w:tc>
        <w:tc>
          <w:tcPr>
            <w:tcW w:w="1261" w:type="dxa"/>
            <w:vMerge w:val="restart"/>
            <w:noWrap w:val="0"/>
            <w:vAlign w:val="center"/>
          </w:tcPr>
          <w:p>
            <w:pPr>
              <w:adjustRightInd w:val="0"/>
              <w:snapToGrid w:val="0"/>
              <w:spacing w:line="32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关键人员履职监管</w:t>
            </w:r>
          </w:p>
          <w:p>
            <w:pPr>
              <w:adjustRightInd w:val="0"/>
              <w:snapToGrid w:val="0"/>
              <w:spacing w:line="320" w:lineRule="exact"/>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分）</w:t>
            </w: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2024年查处</w:t>
            </w:r>
            <w:r>
              <w:rPr>
                <w:rFonts w:hint="eastAsia" w:ascii="仿宋_GB2312" w:hAnsi="仿宋_GB2312" w:eastAsia="仿宋_GB2312" w:cs="仿宋_GB2312"/>
                <w:color w:val="auto"/>
                <w:sz w:val="24"/>
                <w:lang w:eastAsia="zh-CN"/>
              </w:rPr>
              <w:t>关键岗位人员</w:t>
            </w:r>
            <w:r>
              <w:rPr>
                <w:rFonts w:hint="eastAsia" w:ascii="仿宋_GB2312" w:hAnsi="仿宋_GB2312" w:eastAsia="仿宋_GB2312" w:cs="仿宋_GB2312"/>
                <w:color w:val="auto"/>
                <w:sz w:val="24"/>
              </w:rPr>
              <w:t>“履职缺位”</w:t>
            </w:r>
            <w:r>
              <w:rPr>
                <w:rFonts w:hint="eastAsia" w:ascii="仿宋_GB2312" w:hAnsi="仿宋_GB2312" w:eastAsia="仿宋_GB2312" w:cs="仿宋_GB2312"/>
                <w:color w:val="auto"/>
                <w:sz w:val="24"/>
                <w:lang w:eastAsia="zh-CN"/>
              </w:rPr>
              <w:t>违法责任人数</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highlight w:val="none"/>
                <w:lang w:val="en-US" w:eastAsia="zh-CN"/>
              </w:rPr>
              <w:t>2024年第二季度辖区应考评项目数，占比高的前5名依次得5、4、3、2、1分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44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（2）2024年</w:t>
            </w:r>
            <w:r>
              <w:rPr>
                <w:rFonts w:hint="eastAsia" w:ascii="仿宋_GB2312" w:hAnsi="仿宋_GB2312" w:eastAsia="仿宋_GB2312" w:cs="仿宋_GB2312"/>
                <w:color w:val="auto"/>
                <w:sz w:val="24"/>
                <w:lang w:eastAsia="zh-CN"/>
              </w:rPr>
              <w:t>对实名制弄虚作假情形给予履约评价记分次数</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highlight w:val="none"/>
                <w:lang w:val="en-US" w:eastAsia="zh-CN"/>
              </w:rPr>
              <w:t>2024年第二季度辖区应考评项目数，占比高的前5名依次得5、4、3、2、1分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441" w:type="dxa"/>
            <w:vMerge w:val="restart"/>
            <w:noWrap w:val="0"/>
            <w:vAlign w:val="center"/>
          </w:tcPr>
          <w:p>
            <w:pPr>
              <w:spacing w:line="32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4</w:t>
            </w:r>
          </w:p>
        </w:tc>
        <w:tc>
          <w:tcPr>
            <w:tcW w:w="1261" w:type="dxa"/>
            <w:vMerge w:val="restart"/>
            <w:noWrap w:val="0"/>
            <w:vAlign w:val="center"/>
          </w:tcPr>
          <w:p>
            <w:pPr>
              <w:adjustRightInd w:val="0"/>
              <w:snapToGrid w:val="0"/>
              <w:spacing w:line="320" w:lineRule="exact"/>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检查执法工作效能</w:t>
            </w:r>
          </w:p>
          <w:p>
            <w:pPr>
              <w:adjustRightInd w:val="0"/>
              <w:snapToGrid w:val="0"/>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25</w:t>
            </w:r>
            <w:r>
              <w:rPr>
                <w:rFonts w:hint="eastAsia" w:ascii="仿宋_GB2312" w:hAnsi="仿宋_GB2312" w:eastAsia="仿宋_GB2312" w:cs="仿宋_GB2312"/>
                <w:color w:val="auto"/>
                <w:sz w:val="24"/>
              </w:rPr>
              <w:t>分）</w:t>
            </w:r>
          </w:p>
        </w:tc>
        <w:tc>
          <w:tcPr>
            <w:tcW w:w="7087" w:type="dxa"/>
            <w:noWrap w:val="0"/>
            <w:vAlign w:val="center"/>
          </w:tcPr>
          <w:p>
            <w:pPr>
              <w:adjustRightInd w:val="0"/>
              <w:snapToGrid w:val="0"/>
              <w:spacing w:line="320" w:lineRule="exac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lang w:eastAsia="zh-CN"/>
              </w:rPr>
              <w:t>）202</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年查处转包、挂靠、违法分包行为的宗数</w:t>
            </w:r>
            <w:r>
              <w:rPr>
                <w:rFonts w:hint="eastAsia" w:ascii="仿宋_GB2312" w:hAnsi="仿宋_GB2312" w:eastAsia="仿宋_GB2312" w:cs="仿宋_GB2312"/>
                <w:color w:val="auto"/>
                <w:sz w:val="24"/>
                <w:highlight w:val="none"/>
                <w:lang w:val="en-US" w:eastAsia="zh-CN"/>
              </w:rPr>
              <w:t>/2024年第二季度辖区应考评项目数，占比高的前5名依次得5、4、3、2、1分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lang w:eastAsia="zh-CN"/>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44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w:t>
            </w:r>
            <w:r>
              <w:rPr>
                <w:rFonts w:hint="eastAsia" w:ascii="仿宋_GB2312" w:hAnsi="仿宋_GB2312" w:eastAsia="仿宋_GB2312" w:cs="仿宋_GB2312"/>
                <w:color w:val="auto"/>
                <w:sz w:val="24"/>
                <w:highlight w:val="none"/>
                <w:lang w:eastAsia="zh-CN"/>
              </w:rPr>
              <w:t>）202</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年查处肢解发包、“应招未招”等违法发包行为的宗数</w:t>
            </w:r>
            <w:r>
              <w:rPr>
                <w:rFonts w:hint="eastAsia" w:ascii="仿宋_GB2312" w:hAnsi="仿宋_GB2312" w:eastAsia="仿宋_GB2312" w:cs="仿宋_GB2312"/>
                <w:color w:val="auto"/>
                <w:sz w:val="24"/>
                <w:highlight w:val="none"/>
                <w:lang w:val="en-US" w:eastAsia="zh-CN"/>
              </w:rPr>
              <w:t>/2024年第二季度辖区应考评项目数，占比高的前5名依次得5、4、3、2、1分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lang w:eastAsia="zh-CN"/>
              </w:rPr>
              <w:t>）202</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年查处围标串违法行为的项目数</w:t>
            </w:r>
            <w:r>
              <w:rPr>
                <w:rFonts w:hint="eastAsia" w:ascii="仿宋_GB2312" w:hAnsi="仿宋_GB2312" w:eastAsia="仿宋_GB2312" w:cs="仿宋_GB2312"/>
                <w:color w:val="auto"/>
                <w:sz w:val="24"/>
                <w:highlight w:val="none"/>
                <w:lang w:val="en-US" w:eastAsia="zh-CN"/>
              </w:rPr>
              <w:t>/2024年第二季度辖区应考评项目数，占比高的前5名依次得5、4、3、2、1分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2024</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eastAsia="zh-CN"/>
              </w:rPr>
              <w:t>查处工程安全违法行为的宗数</w:t>
            </w:r>
            <w:r>
              <w:rPr>
                <w:rFonts w:hint="eastAsia" w:ascii="仿宋_GB2312" w:hAnsi="仿宋_GB2312" w:eastAsia="仿宋_GB2312" w:cs="仿宋_GB2312"/>
                <w:color w:val="auto"/>
                <w:sz w:val="24"/>
                <w:highlight w:val="none"/>
                <w:lang w:val="en-US" w:eastAsia="zh-CN"/>
              </w:rPr>
              <w:t>/2024年第二季度辖区应考评项目数，占比高的前5名依次得5、4、3、2、1分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44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1261" w:type="dxa"/>
            <w:vMerge w:val="continue"/>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2024</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eastAsia="zh-CN"/>
              </w:rPr>
              <w:t>查处工程质量检测违法行为的宗数</w:t>
            </w:r>
            <w:r>
              <w:rPr>
                <w:rFonts w:hint="eastAsia" w:ascii="仿宋_GB2312" w:hAnsi="仿宋_GB2312" w:eastAsia="仿宋_GB2312" w:cs="仿宋_GB2312"/>
                <w:color w:val="auto"/>
                <w:sz w:val="24"/>
                <w:highlight w:val="none"/>
                <w:lang w:val="en-US" w:eastAsia="zh-CN"/>
              </w:rPr>
              <w:t>/2024年第二季度辖区应考评项目数，占比高的前5名依次得5、4、3、2、1分</w:t>
            </w:r>
            <w:r>
              <w:rPr>
                <w:rFonts w:hint="eastAsia" w:ascii="仿宋_GB2312" w:hAnsi="仿宋_GB2312" w:eastAsia="仿宋_GB2312" w:cs="仿宋_GB2312"/>
                <w:color w:val="auto"/>
                <w:sz w:val="24"/>
                <w:highlight w:val="none"/>
                <w:lang w:eastAsia="zh-CN"/>
              </w:rPr>
              <w:t>，其余不得分。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2"/>
                <w:szCs w:val="22"/>
                <w:highlight w:val="none"/>
                <w:lang w:eastAsia="zh-CN"/>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441" w:type="dxa"/>
            <w:vMerge w:val="restart"/>
            <w:noWrap w:val="0"/>
            <w:vAlign w:val="center"/>
          </w:tcPr>
          <w:p>
            <w:pPr>
              <w:spacing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5</w:t>
            </w:r>
          </w:p>
        </w:tc>
        <w:tc>
          <w:tcPr>
            <w:tcW w:w="1261" w:type="dxa"/>
            <w:vMerge w:val="restart"/>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eastAsia="zh-CN"/>
              </w:rPr>
              <w:t>文明施工监督管理</w:t>
            </w:r>
            <w:r>
              <w:rPr>
                <w:rFonts w:hint="eastAsia" w:ascii="仿宋_GB2312" w:hAnsi="仿宋_GB2312" w:eastAsia="仿宋_GB2312" w:cs="仿宋_GB2312"/>
                <w:color w:val="auto"/>
                <w:sz w:val="24"/>
                <w:highlight w:val="none"/>
                <w:u w:val="none"/>
              </w:rPr>
              <w:t>（</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rPr>
              <w:t>分）</w:t>
            </w: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1</w:t>
            </w:r>
            <w:r>
              <w:rPr>
                <w:rFonts w:hint="eastAsia" w:ascii="仿宋_GB2312" w:hAnsi="仿宋_GB2312" w:eastAsia="仿宋_GB2312" w:cs="仿宋_GB2312"/>
                <w:color w:val="auto"/>
                <w:sz w:val="24"/>
                <w:highlight w:val="none"/>
                <w:u w:val="none"/>
                <w:lang w:eastAsia="zh-CN"/>
              </w:rPr>
              <w:t>）202</w:t>
            </w:r>
            <w:r>
              <w:rPr>
                <w:rFonts w:hint="eastAsia" w:ascii="仿宋_GB2312" w:hAnsi="仿宋_GB2312" w:eastAsia="仿宋_GB2312" w:cs="仿宋_GB2312"/>
                <w:color w:val="auto"/>
                <w:sz w:val="24"/>
                <w:highlight w:val="none"/>
                <w:u w:val="none"/>
                <w:lang w:val="en-US" w:eastAsia="zh-CN"/>
              </w:rPr>
              <w:t>4</w:t>
            </w:r>
            <w:r>
              <w:rPr>
                <w:rFonts w:hint="eastAsia" w:ascii="仿宋_GB2312" w:hAnsi="仿宋_GB2312" w:eastAsia="仿宋_GB2312" w:cs="仿宋_GB2312"/>
                <w:color w:val="auto"/>
                <w:sz w:val="24"/>
                <w:highlight w:val="none"/>
                <w:u w:val="none"/>
                <w:lang w:eastAsia="zh-CN"/>
              </w:rPr>
              <w:t>年查处文明施工违法行为（扬尘）的宗数</w:t>
            </w:r>
            <w:r>
              <w:rPr>
                <w:rFonts w:hint="eastAsia" w:ascii="仿宋_GB2312" w:hAnsi="仿宋_GB2312" w:eastAsia="仿宋_GB2312" w:cs="仿宋_GB2312"/>
                <w:color w:val="auto"/>
                <w:sz w:val="24"/>
                <w:highlight w:val="none"/>
                <w:u w:val="none"/>
                <w:lang w:val="en-US" w:eastAsia="zh-CN"/>
              </w:rPr>
              <w:t>/2024年第二季度辖区应考评项目数，占比高的前3名依次得3、2、1分</w:t>
            </w:r>
            <w:r>
              <w:rPr>
                <w:rFonts w:hint="eastAsia" w:ascii="仿宋_GB2312" w:hAnsi="仿宋_GB2312" w:eastAsia="仿宋_GB2312" w:cs="仿宋_GB2312"/>
                <w:color w:val="auto"/>
                <w:sz w:val="24"/>
                <w:highlight w:val="none"/>
                <w:u w:val="none"/>
                <w:lang w:eastAsia="zh-CN"/>
              </w:rPr>
              <w:t>，其余不得分。</w:t>
            </w: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color w:val="auto"/>
                <w:sz w:val="24"/>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44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pPr>
              <w:adjustRightInd w:val="0"/>
              <w:snapToGrid w:val="0"/>
              <w:spacing w:line="320" w:lineRule="exact"/>
              <w:rPr>
                <w:rFonts w:hint="default" w:ascii="仿宋_GB2312" w:hAnsi="仿宋_GB2312" w:eastAsia="仿宋_GB2312" w:cs="仿宋_GB2312"/>
                <w:color w:val="auto"/>
                <w:sz w:val="24"/>
                <w:highlight w:val="none"/>
                <w:u w:val="single"/>
                <w:lang w:val="en-US" w:eastAsia="zh-CN"/>
              </w:rPr>
            </w:pP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2</w:t>
            </w:r>
            <w:r>
              <w:rPr>
                <w:rFonts w:hint="eastAsia" w:ascii="仿宋_GB2312" w:hAnsi="仿宋_GB2312" w:eastAsia="仿宋_GB2312" w:cs="仿宋_GB2312"/>
                <w:color w:val="auto"/>
                <w:sz w:val="24"/>
                <w:highlight w:val="none"/>
                <w:u w:val="none"/>
                <w:lang w:eastAsia="zh-CN"/>
              </w:rPr>
              <w:t>）受检项目建筑工地围挡整治和公益广告宣传落实情况，</w:t>
            </w:r>
            <w:r>
              <w:rPr>
                <w:rFonts w:hint="eastAsia" w:ascii="仿宋_GB2312" w:hAnsi="仿宋_GB2312" w:eastAsia="仿宋_GB2312" w:cs="仿宋_GB2312"/>
                <w:color w:val="auto"/>
                <w:sz w:val="24"/>
                <w:highlight w:val="none"/>
                <w:u w:val="none"/>
                <w:lang w:val="en-US" w:eastAsia="zh-CN"/>
              </w:rPr>
              <w:t>2分。</w:t>
            </w:r>
          </w:p>
        </w:tc>
        <w:tc>
          <w:tcPr>
            <w:tcW w:w="1189"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78" w:type="dxa"/>
            <w:gridSpan w:val="4"/>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none"/>
              </w:rPr>
            </w:pPr>
            <w:r>
              <w:rPr>
                <w:rFonts w:hint="eastAsia" w:ascii="黑体" w:hAnsi="黑体" w:eastAsia="黑体" w:cs="黑体"/>
                <w:color w:val="auto"/>
                <w:sz w:val="24"/>
                <w:highlight w:val="none"/>
                <w:lang w:eastAsia="zh-CN"/>
              </w:rPr>
              <w:t>二</w:t>
            </w:r>
            <w:r>
              <w:rPr>
                <w:rFonts w:hint="eastAsia" w:ascii="黑体" w:hAnsi="黑体" w:eastAsia="黑体" w:cs="黑体"/>
                <w:color w:val="auto"/>
                <w:sz w:val="24"/>
                <w:highlight w:val="none"/>
              </w:rPr>
              <w:t>、扣分项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441" w:type="dxa"/>
            <w:noWrap w:val="0"/>
            <w:vAlign w:val="center"/>
          </w:tcPr>
          <w:p>
            <w:pPr>
              <w:spacing w:line="32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6</w:t>
            </w:r>
          </w:p>
        </w:tc>
        <w:tc>
          <w:tcPr>
            <w:tcW w:w="1261" w:type="dxa"/>
            <w:noWrap w:val="0"/>
            <w:vAlign w:val="center"/>
          </w:tcPr>
          <w:p>
            <w:pPr>
              <w:adjustRightInd w:val="0"/>
              <w:snapToGrid w:val="0"/>
              <w:spacing w:line="32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各级督查问题整改处理情况</w:t>
            </w: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未落实国家、省级检查发现问题整改或处理的，每1起扣</w:t>
            </w:r>
            <w:r>
              <w:rPr>
                <w:rFonts w:hint="eastAsia" w:ascii="仿宋_GB2312" w:hAnsi="仿宋_GB2312" w:eastAsia="仿宋_GB2312" w:cs="仿宋_GB2312"/>
                <w:color w:val="auto"/>
                <w:sz w:val="24"/>
                <w:highlight w:val="none"/>
                <w:lang w:val="en-US" w:eastAsia="zh-CN"/>
              </w:rPr>
              <w:t>10</w:t>
            </w:r>
            <w:r>
              <w:rPr>
                <w:rFonts w:hint="eastAsia" w:ascii="仿宋_GB2312" w:hAnsi="仿宋_GB2312" w:eastAsia="仿宋_GB2312" w:cs="仿宋_GB2312"/>
                <w:color w:val="auto"/>
                <w:sz w:val="24"/>
                <w:highlight w:val="none"/>
              </w:rPr>
              <w:t>分（由建筑业科、质安科对口扣分）</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未落实市级检查发现问题整改或处理的（含执法建议交办），每1起扣</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分（由建筑业科、质安科对口扣分）。</w:t>
            </w:r>
          </w:p>
        </w:tc>
        <w:tc>
          <w:tcPr>
            <w:tcW w:w="1189" w:type="dxa"/>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none"/>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5" w:hRule="atLeast"/>
          <w:jc w:val="center"/>
        </w:trPr>
        <w:tc>
          <w:tcPr>
            <w:tcW w:w="441" w:type="dxa"/>
            <w:vMerge w:val="restart"/>
            <w:noWrap w:val="0"/>
            <w:vAlign w:val="center"/>
          </w:tcPr>
          <w:p>
            <w:pPr>
              <w:spacing w:line="320" w:lineRule="exact"/>
              <w:jc w:val="center"/>
              <w:rPr>
                <w:rFonts w:hint="default"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7</w:t>
            </w:r>
          </w:p>
        </w:tc>
        <w:tc>
          <w:tcPr>
            <w:tcW w:w="1261" w:type="dxa"/>
            <w:vMerge w:val="restart"/>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eastAsia="zh-CN"/>
              </w:rPr>
              <w:t>异地交叉检查情况</w:t>
            </w:r>
          </w:p>
        </w:tc>
        <w:tc>
          <w:tcPr>
            <w:tcW w:w="7087" w:type="dxa"/>
            <w:noWrap w:val="0"/>
            <w:vAlign w:val="center"/>
          </w:tcPr>
          <w:p>
            <w:pPr>
              <w:adjustRightInd w:val="0"/>
              <w:snapToGrid w:val="0"/>
              <w:spacing w:line="320" w:lineRule="exact"/>
              <w:rPr>
                <w:rFonts w:hint="default" w:ascii="仿宋_GB2312" w:hAnsi="仿宋_GB2312" w:eastAsia="仿宋_GB2312" w:cs="仿宋_GB2312"/>
                <w:color w:val="auto"/>
                <w:sz w:val="24"/>
                <w:highlight w:val="yellow"/>
                <w:u w:val="none"/>
                <w:lang w:val="en-US" w:eastAsia="zh-CN"/>
              </w:rPr>
            </w:pP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1</w:t>
            </w:r>
            <w:r>
              <w:rPr>
                <w:rFonts w:hint="eastAsia" w:ascii="仿宋_GB2312" w:hAnsi="仿宋_GB2312" w:eastAsia="仿宋_GB2312" w:cs="仿宋_GB2312"/>
                <w:color w:val="auto"/>
                <w:sz w:val="24"/>
                <w:highlight w:val="none"/>
                <w:u w:val="none"/>
                <w:lang w:eastAsia="zh-CN"/>
              </w:rPr>
              <w:t>）作为检查组：①检查中未发出《执法建议书》的，扣</w:t>
            </w:r>
            <w:r>
              <w:rPr>
                <w:rFonts w:hint="eastAsia" w:ascii="仿宋_GB2312" w:hAnsi="仿宋_GB2312" w:eastAsia="仿宋_GB2312" w:cs="仿宋_GB2312"/>
                <w:color w:val="auto"/>
                <w:sz w:val="24"/>
                <w:highlight w:val="none"/>
                <w:u w:val="none"/>
                <w:lang w:val="en-US" w:eastAsia="zh-CN"/>
              </w:rPr>
              <w:t>10分。②</w:t>
            </w:r>
            <w:r>
              <w:rPr>
                <w:rFonts w:hint="eastAsia" w:ascii="仿宋_GB2312" w:hAnsi="仿宋_GB2312" w:eastAsia="仿宋_GB2312" w:cs="仿宋_GB2312"/>
                <w:color w:val="auto"/>
                <w:sz w:val="24"/>
                <w:highlight w:val="none"/>
                <w:u w:val="none"/>
                <w:lang w:eastAsia="zh-CN"/>
              </w:rPr>
              <w:t>检查中未发现重大事故隐患的，扣</w:t>
            </w:r>
            <w:r>
              <w:rPr>
                <w:rFonts w:hint="eastAsia" w:ascii="仿宋_GB2312" w:hAnsi="仿宋_GB2312" w:eastAsia="仿宋_GB2312" w:cs="仿宋_GB2312"/>
                <w:color w:val="auto"/>
                <w:sz w:val="24"/>
                <w:highlight w:val="none"/>
                <w:u w:val="none"/>
                <w:lang w:val="en-US" w:eastAsia="zh-CN"/>
              </w:rPr>
              <w:t>10分。</w:t>
            </w:r>
            <w:r>
              <w:rPr>
                <w:rFonts w:hint="eastAsia" w:ascii="仿宋_GB2312" w:hAnsi="仿宋_GB2312" w:eastAsia="仿宋_GB2312" w:cs="仿宋_GB2312"/>
                <w:color w:val="auto"/>
                <w:sz w:val="24"/>
                <w:highlight w:val="none"/>
                <w:u w:val="none"/>
                <w:lang w:eastAsia="zh-CN"/>
              </w:rPr>
              <w:t>③检查发现属“应停工项目”但未责令停工整改的（停工标准按《福建省房屋市政工程质量安全动态监管办法（2023年版）》执行），每1个项目扣5分。</w:t>
            </w:r>
          </w:p>
        </w:tc>
        <w:tc>
          <w:tcPr>
            <w:tcW w:w="1189" w:type="dxa"/>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yellow"/>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0" w:hRule="atLeast"/>
          <w:jc w:val="center"/>
        </w:trPr>
        <w:tc>
          <w:tcPr>
            <w:tcW w:w="44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1261" w:type="dxa"/>
            <w:vMerge w:val="continue"/>
            <w:noWrap w:val="0"/>
            <w:vAlign w:val="center"/>
          </w:tcPr>
          <w:p>
            <w:pPr>
              <w:adjustRightInd w:val="0"/>
              <w:snapToGrid w:val="0"/>
              <w:spacing w:line="320" w:lineRule="exact"/>
              <w:rPr>
                <w:rFonts w:ascii="Times New Roman" w:hAnsi="Times New Roman" w:eastAsia="宋体" w:cs="Times New Roman"/>
                <w:color w:val="auto"/>
                <w:sz w:val="21"/>
              </w:rPr>
            </w:pP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lang w:val="en-US" w:eastAsia="zh-CN"/>
              </w:rPr>
              <w:t>2</w:t>
            </w:r>
            <w:r>
              <w:rPr>
                <w:rFonts w:hint="eastAsia" w:ascii="仿宋_GB2312" w:hAnsi="仿宋_GB2312" w:eastAsia="仿宋_GB2312" w:cs="仿宋_GB2312"/>
                <w:color w:val="auto"/>
                <w:sz w:val="24"/>
                <w:highlight w:val="none"/>
                <w:u w:val="none"/>
                <w:lang w:eastAsia="zh-CN"/>
              </w:rPr>
              <w:t>）作为被检方：①受检项目关键岗位人员（项目经理、项目技术负责人、安全员、总监）存在长期不在岗履职的，每一人扣</w:t>
            </w:r>
            <w:r>
              <w:rPr>
                <w:rFonts w:hint="eastAsia" w:ascii="仿宋_GB2312" w:hAnsi="仿宋_GB2312" w:eastAsia="仿宋_GB2312" w:cs="仿宋_GB2312"/>
                <w:color w:val="auto"/>
                <w:sz w:val="24"/>
                <w:highlight w:val="none"/>
                <w:u w:val="none"/>
                <w:lang w:val="en-US" w:eastAsia="zh-CN"/>
              </w:rPr>
              <w:t>2</w:t>
            </w:r>
            <w:r>
              <w:rPr>
                <w:rFonts w:hint="eastAsia" w:ascii="仿宋_GB2312" w:hAnsi="仿宋_GB2312" w:eastAsia="仿宋_GB2312" w:cs="仿宋_GB2312"/>
                <w:color w:val="auto"/>
                <w:sz w:val="24"/>
                <w:highlight w:val="none"/>
                <w:u w:val="none"/>
                <w:lang w:eastAsia="zh-CN"/>
              </w:rPr>
              <w:t>分。②受检项目存在重大事故隐患的，每发现1条扣3分。③受检项目未落实“安全日志”制度的，每发现1个项目扣1分（格式不符、内容不属实的，视同未落实）。④受检项目未落实动态风险考评结果告示制度的（考评日期应为第二季度，否则视同未落实），每发现1个项目扣1分。⑤受检项目未落实“一机一码”制度的（扫码后未显示相关检查、维保记录或相关记录与实际情况不符的，视同未落实），1个项目扣2分。⑥经监督抽测，受检项目主要受力构件（节点）芯样混凝土强度低于设计强度标准值的，发现1个项目扣3分。</w:t>
            </w:r>
          </w:p>
        </w:tc>
        <w:tc>
          <w:tcPr>
            <w:tcW w:w="1189" w:type="dxa"/>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none"/>
                <w:u w:val="none"/>
                <w:lang w:eastAsia="zh-CN"/>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978" w:type="dxa"/>
            <w:gridSpan w:val="4"/>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none"/>
                <w:u w:val="none"/>
              </w:rPr>
            </w:pPr>
            <w:r>
              <w:rPr>
                <w:rFonts w:hint="eastAsia" w:ascii="黑体" w:hAnsi="黑体" w:eastAsia="黑体" w:cs="黑体"/>
                <w:color w:val="auto"/>
                <w:sz w:val="24"/>
                <w:highlight w:val="none"/>
                <w:u w:val="none"/>
                <w:lang w:eastAsia="zh-CN"/>
              </w:rPr>
              <w:t>三</w:t>
            </w:r>
            <w:r>
              <w:rPr>
                <w:rFonts w:hint="eastAsia" w:ascii="黑体" w:hAnsi="黑体" w:eastAsia="黑体" w:cs="黑体"/>
                <w:color w:val="auto"/>
                <w:sz w:val="24"/>
                <w:highlight w:val="none"/>
                <w:u w:val="none"/>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441" w:type="dxa"/>
            <w:noWrap w:val="0"/>
            <w:vAlign w:val="center"/>
          </w:tcPr>
          <w:p>
            <w:pPr>
              <w:spacing w:line="320" w:lineRule="exact"/>
              <w:jc w:val="center"/>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highlight w:val="none"/>
                <w:u w:val="none"/>
                <w:lang w:val="en-US" w:eastAsia="zh-CN"/>
              </w:rPr>
              <w:t>8</w:t>
            </w:r>
          </w:p>
        </w:tc>
        <w:tc>
          <w:tcPr>
            <w:tcW w:w="1261" w:type="dxa"/>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建筑市场和工程质量安全经验做法</w:t>
            </w:r>
          </w:p>
        </w:tc>
        <w:tc>
          <w:tcPr>
            <w:tcW w:w="7087" w:type="dxa"/>
            <w:noWrap w:val="0"/>
            <w:vAlign w:val="center"/>
          </w:tcPr>
          <w:p>
            <w:pPr>
              <w:adjustRightInd w:val="0"/>
              <w:snapToGrid w:val="0"/>
              <w:spacing w:line="320" w:lineRule="exac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有关工作被中央、国务院发文推广经验做法或给予嘉奖、表彰的</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每项加10分；被省委省政府、住建部发文推广经验做法或给予嘉奖、表彰的</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每项加8分；被市委市政府、省住建厅发文推广经验做法或给予嘉奖、表彰的</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每项加5分；被县委县政府、市住建局发文推广经验做法或给予嘉奖、表彰的</w:t>
            </w:r>
            <w:r>
              <w:rPr>
                <w:rFonts w:hint="eastAsia" w:ascii="仿宋_GB2312" w:hAnsi="仿宋_GB2312" w:eastAsia="仿宋_GB2312" w:cs="仿宋_GB2312"/>
                <w:color w:val="auto"/>
                <w:sz w:val="24"/>
                <w:highlight w:val="none"/>
                <w:u w:val="none"/>
                <w:lang w:eastAsia="zh-CN"/>
              </w:rPr>
              <w:t>，</w:t>
            </w:r>
            <w:r>
              <w:rPr>
                <w:rFonts w:hint="eastAsia" w:ascii="仿宋_GB2312" w:hAnsi="仿宋_GB2312" w:eastAsia="仿宋_GB2312" w:cs="仿宋_GB2312"/>
                <w:color w:val="auto"/>
                <w:sz w:val="24"/>
                <w:highlight w:val="none"/>
                <w:u w:val="none"/>
              </w:rPr>
              <w:t>每项加3分。</w:t>
            </w:r>
          </w:p>
        </w:tc>
        <w:tc>
          <w:tcPr>
            <w:tcW w:w="1189" w:type="dxa"/>
            <w:noWrap w:val="0"/>
            <w:vAlign w:val="top"/>
          </w:tcPr>
          <w:p>
            <w:pPr>
              <w:adjustRightInd w:val="0"/>
              <w:snapToGrid w:val="0"/>
              <w:spacing w:line="320" w:lineRule="exact"/>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0" w:hRule="atLeast"/>
          <w:jc w:val="center"/>
        </w:trPr>
        <w:tc>
          <w:tcPr>
            <w:tcW w:w="441" w:type="dxa"/>
            <w:noWrap w:val="0"/>
            <w:vAlign w:val="center"/>
          </w:tcPr>
          <w:p>
            <w:pPr>
              <w:spacing w:line="320" w:lineRule="exact"/>
              <w:jc w:val="center"/>
              <w:rPr>
                <w:rFonts w:hint="default"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9</w:t>
            </w:r>
          </w:p>
        </w:tc>
        <w:tc>
          <w:tcPr>
            <w:tcW w:w="1261" w:type="dxa"/>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eastAsia="zh-CN"/>
              </w:rPr>
              <w:t>异地交叉检查情况</w:t>
            </w:r>
          </w:p>
        </w:tc>
        <w:tc>
          <w:tcPr>
            <w:tcW w:w="7087" w:type="dxa"/>
            <w:noWrap w:val="0"/>
            <w:vAlign w:val="center"/>
          </w:tcPr>
          <w:p>
            <w:pPr>
              <w:adjustRightInd w:val="0"/>
              <w:snapToGrid w:val="0"/>
              <w:spacing w:line="320" w:lineRule="exact"/>
              <w:rPr>
                <w:rFonts w:hint="default" w:ascii="仿宋_GB2312" w:hAnsi="仿宋_GB2312" w:eastAsia="仿宋_GB2312" w:cs="仿宋_GB2312"/>
                <w:color w:val="auto"/>
                <w:sz w:val="24"/>
                <w:highlight w:val="yellow"/>
                <w:u w:val="none"/>
                <w:lang w:val="en-US" w:eastAsia="zh-CN"/>
              </w:rPr>
            </w:pPr>
            <w:r>
              <w:rPr>
                <w:rFonts w:hint="eastAsia" w:ascii="仿宋_GB2312" w:hAnsi="仿宋_GB2312" w:eastAsia="仿宋_GB2312" w:cs="仿宋_GB2312"/>
                <w:color w:val="auto"/>
                <w:sz w:val="24"/>
                <w:highlight w:val="none"/>
                <w:u w:val="none"/>
                <w:lang w:eastAsia="zh-CN"/>
              </w:rPr>
              <w:t>作为检查组：①发现建设单位违法发包、肢解招标、应公开招标未公开招标等涉嫌违法行为的，发出《执法建议书》并向项目属地移交完整证据链的，每条加</w:t>
            </w:r>
            <w:r>
              <w:rPr>
                <w:rFonts w:hint="eastAsia" w:ascii="仿宋_GB2312" w:hAnsi="仿宋_GB2312" w:eastAsia="仿宋_GB2312" w:cs="仿宋_GB2312"/>
                <w:color w:val="auto"/>
                <w:sz w:val="24"/>
                <w:highlight w:val="none"/>
                <w:u w:val="none"/>
                <w:lang w:val="en-US" w:eastAsia="zh-CN"/>
              </w:rPr>
              <w:t>5</w:t>
            </w:r>
            <w:r>
              <w:rPr>
                <w:rFonts w:hint="eastAsia" w:ascii="仿宋_GB2312" w:hAnsi="仿宋_GB2312" w:eastAsia="仿宋_GB2312" w:cs="仿宋_GB2312"/>
                <w:color w:val="auto"/>
                <w:sz w:val="24"/>
                <w:highlight w:val="none"/>
                <w:u w:val="none"/>
                <w:lang w:eastAsia="zh-CN"/>
              </w:rPr>
              <w:t>分。②发现转包、挂靠等涉嫌违法行为的，发出《执法建议书》并向项目属地移交完整证据链的，每条加5分。③发现施工单位违法分包、超越资质承揽工程等违法行为的，发出《执法建议书》并向项目属地移交完整证据链的，每条加2分。④发现项目经理、安全员等安全生产岗位责任人未到岗履职，涉嫌未依法履职的，发出《执法建议书》并向项目属地移交完整证据链的，每个责任人加2分。⑤发现项目管理人员实名制弄虚作假，给予履约评价计分的，每个项目加1分。</w:t>
            </w:r>
            <w:r>
              <w:rPr>
                <w:rFonts w:hint="eastAsia" w:ascii="仿宋_GB2312" w:hAnsi="仿宋_GB2312" w:eastAsia="仿宋_GB2312" w:cs="仿宋_GB2312"/>
                <w:color w:val="auto"/>
                <w:sz w:val="24"/>
                <w:highlight w:val="none"/>
                <w:u w:val="none"/>
                <w:lang w:val="en-US" w:eastAsia="zh-CN"/>
              </w:rPr>
              <w:t>⑥发现监理单位未依法履职的，</w:t>
            </w:r>
            <w:r>
              <w:rPr>
                <w:rFonts w:hint="eastAsia" w:ascii="仿宋_GB2312" w:hAnsi="仿宋_GB2312" w:eastAsia="仿宋_GB2312" w:cs="仿宋_GB2312"/>
                <w:color w:val="auto"/>
                <w:sz w:val="24"/>
                <w:highlight w:val="none"/>
                <w:u w:val="none"/>
                <w:lang w:eastAsia="zh-CN"/>
              </w:rPr>
              <w:t>发出《执法建议书》并向项目属地移交完整证据链的，每个项目加</w:t>
            </w:r>
            <w:r>
              <w:rPr>
                <w:rFonts w:hint="eastAsia" w:ascii="仿宋_GB2312" w:hAnsi="仿宋_GB2312" w:eastAsia="仿宋_GB2312" w:cs="仿宋_GB2312"/>
                <w:color w:val="auto"/>
                <w:sz w:val="24"/>
                <w:highlight w:val="none"/>
                <w:u w:val="none"/>
                <w:lang w:val="en-US" w:eastAsia="zh-CN"/>
              </w:rPr>
              <w:t>3</w:t>
            </w:r>
            <w:r>
              <w:rPr>
                <w:rFonts w:hint="eastAsia" w:ascii="仿宋_GB2312" w:hAnsi="仿宋_GB2312" w:eastAsia="仿宋_GB2312" w:cs="仿宋_GB2312"/>
                <w:color w:val="auto"/>
                <w:sz w:val="24"/>
                <w:highlight w:val="none"/>
                <w:u w:val="none"/>
                <w:lang w:eastAsia="zh-CN"/>
              </w:rPr>
              <w:t>分。</w:t>
            </w:r>
            <w:r>
              <w:rPr>
                <w:rFonts w:hint="eastAsia" w:ascii="仿宋_GB2312" w:hAnsi="仿宋_GB2312" w:eastAsia="仿宋_GB2312" w:cs="仿宋_GB2312"/>
                <w:color w:val="auto"/>
                <w:sz w:val="24"/>
                <w:highlight w:val="none"/>
                <w:u w:val="none"/>
                <w:lang w:val="en-US" w:eastAsia="zh-CN"/>
              </w:rPr>
              <w:t>⑦发现重大事故隐患并责令停工的，每条加2分（属危大工程的每条加3分）；涉嫌违法行为的，发出《执法建议书》并向项目属地移交完整证据链的，每条再2分（属危大工程的每条加3分）。</w:t>
            </w:r>
          </w:p>
        </w:tc>
        <w:tc>
          <w:tcPr>
            <w:tcW w:w="1189" w:type="dxa"/>
            <w:noWrap w:val="0"/>
            <w:vAlign w:val="center"/>
          </w:tcPr>
          <w:p>
            <w:pPr>
              <w:adjustRightInd w:val="0"/>
              <w:snapToGrid w:val="0"/>
              <w:spacing w:line="320" w:lineRule="exact"/>
              <w:jc w:val="center"/>
              <w:rPr>
                <w:rFonts w:hint="eastAsia" w:ascii="仿宋_GB2312" w:hAnsi="仿宋_GB2312" w:eastAsia="仿宋_GB2312" w:cs="仿宋_GB2312"/>
                <w:color w:val="auto"/>
                <w:sz w:val="24"/>
                <w:highlight w:val="yellow"/>
              </w:rPr>
            </w:pPr>
            <w:r>
              <w:rPr>
                <w:rFonts w:hint="eastAsia" w:ascii="楷体_GB2312" w:hAnsi="楷体_GB2312" w:eastAsia="楷体_GB2312" w:cs="楷体_GB2312"/>
                <w:b w:val="0"/>
                <w:bCs w:val="0"/>
                <w:color w:val="auto"/>
                <w:sz w:val="22"/>
                <w:szCs w:val="22"/>
                <w:lang w:eastAsia="zh-CN"/>
              </w:rPr>
              <w:t>该项由市住建局直接赋分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jc w:val="center"/>
        </w:trPr>
        <w:tc>
          <w:tcPr>
            <w:tcW w:w="441" w:type="dxa"/>
            <w:noWrap w:val="0"/>
            <w:vAlign w:val="center"/>
          </w:tcPr>
          <w:p>
            <w:pPr>
              <w:spacing w:line="32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w:t>
            </w:r>
          </w:p>
        </w:tc>
        <w:tc>
          <w:tcPr>
            <w:tcW w:w="9537" w:type="dxa"/>
            <w:gridSpan w:val="3"/>
            <w:noWrap w:val="0"/>
            <w:vAlign w:val="top"/>
          </w:tcPr>
          <w:p>
            <w:pPr>
              <w:adjustRightInd w:val="0"/>
              <w:snapToGrid w:val="0"/>
              <w:spacing w:line="32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其他情况：</w:t>
            </w:r>
          </w:p>
        </w:tc>
      </w:tr>
    </w:tbl>
    <w:p>
      <w:pPr>
        <w:spacing w:line="500" w:lineRule="exact"/>
        <w:rPr>
          <w:rFonts w:hint="eastAsia" w:ascii="楷体_GB2312" w:hAnsi="楷体_GB2312" w:eastAsia="楷体_GB2312" w:cs="楷体_GB2312"/>
          <w:color w:val="auto"/>
          <w:sz w:val="28"/>
          <w:szCs w:val="28"/>
          <w:lang w:eastAsia="zh-CN"/>
        </w:rPr>
      </w:pPr>
      <w:r>
        <w:rPr>
          <w:rFonts w:hint="eastAsia" w:ascii="楷体_GB2312" w:hAnsi="楷体_GB2312" w:eastAsia="楷体_GB2312" w:cs="楷体_GB2312"/>
          <w:color w:val="auto"/>
          <w:sz w:val="28"/>
          <w:szCs w:val="28"/>
          <w:lang w:eastAsia="zh-CN"/>
        </w:rPr>
        <w:t>检查组组长（签名）：</w:t>
      </w:r>
    </w:p>
    <w:p>
      <w:pPr>
        <w:keepNext w:val="0"/>
        <w:keepLines w:val="0"/>
        <w:pageBreakBefore w:val="0"/>
        <w:widowControl w:val="0"/>
        <w:kinsoku/>
        <w:wordWrap/>
        <w:overflowPunct/>
        <w:topLinePunct w:val="0"/>
        <w:autoSpaceDE/>
        <w:autoSpaceDN/>
        <w:bidi w:val="0"/>
        <w:spacing w:line="540" w:lineRule="exact"/>
        <w:textAlignment w:val="auto"/>
        <w:rPr>
          <w:rFonts w:hint="eastAsia" w:ascii="黑体" w:hAnsi="黑体" w:eastAsia="黑体" w:cs="黑体"/>
          <w:sz w:val="32"/>
          <w:szCs w:val="20"/>
          <w:lang w:eastAsia="zh-CN"/>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黑体" w:hAnsi="黑体" w:eastAsia="黑体" w:cs="黑体"/>
          <w:sz w:val="32"/>
          <w:szCs w:val="20"/>
          <w:lang w:eastAsia="zh-CN"/>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黑体" w:hAnsi="黑体" w:eastAsia="黑体" w:cs="黑体"/>
          <w:sz w:val="32"/>
          <w:szCs w:val="20"/>
          <w:lang w:eastAsia="zh-CN"/>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黑体" w:hAnsi="黑体" w:eastAsia="黑体" w:cs="黑体"/>
          <w:sz w:val="32"/>
          <w:szCs w:val="20"/>
          <w:lang w:eastAsia="zh-CN"/>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黑体" w:hAnsi="黑体" w:eastAsia="黑体" w:cs="黑体"/>
          <w:sz w:val="32"/>
          <w:szCs w:val="20"/>
          <w:lang w:eastAsia="zh-CN"/>
        </w:rPr>
      </w:pPr>
    </w:p>
    <w:p>
      <w:pPr>
        <w:spacing w:line="500" w:lineRule="exact"/>
        <w:rPr>
          <w:rFonts w:hint="eastAsia" w:ascii="宋体" w:hAnsi="宋体" w:eastAsia="宋体" w:cs="宋体"/>
          <w:b/>
          <w:bCs/>
          <w:color w:val="auto"/>
          <w:sz w:val="40"/>
          <w:szCs w:val="40"/>
        </w:rPr>
      </w:pPr>
      <w:r>
        <w:rPr>
          <w:rFonts w:hint="eastAsia" w:ascii="黑体" w:hAnsi="黑体" w:eastAsia="黑体" w:cs="黑体"/>
          <w:color w:val="auto"/>
          <w:sz w:val="32"/>
          <w:szCs w:val="32"/>
        </w:rPr>
        <w:t>附件2</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宋体" w:hAnsi="宋体" w:eastAsia="宋体" w:cs="宋体"/>
          <w:b/>
          <w:bCs w:val="0"/>
          <w:sz w:val="44"/>
          <w:szCs w:val="44"/>
        </w:rPr>
      </w:pPr>
      <w:r>
        <w:rPr>
          <w:rFonts w:hint="eastAsia" w:ascii="宋体" w:hAnsi="宋体" w:eastAsia="宋体" w:cs="宋体"/>
          <w:b/>
          <w:bCs w:val="0"/>
          <w:color w:val="auto"/>
          <w:kern w:val="0"/>
          <w:sz w:val="44"/>
          <w:szCs w:val="44"/>
          <w:lang w:bidi="ar"/>
        </w:rPr>
        <w:t>工程各方主体须提供的材料清单</w:t>
      </w:r>
    </w:p>
    <w:tbl>
      <w:tblPr>
        <w:tblStyle w:val="7"/>
        <w:tblW w:w="10289" w:type="dxa"/>
        <w:jc w:val="center"/>
        <w:tblLayout w:type="fixed"/>
        <w:tblCellMar>
          <w:top w:w="0" w:type="dxa"/>
          <w:left w:w="108" w:type="dxa"/>
          <w:bottom w:w="0" w:type="dxa"/>
          <w:right w:w="108" w:type="dxa"/>
        </w:tblCellMar>
      </w:tblPr>
      <w:tblGrid>
        <w:gridCol w:w="1050"/>
        <w:gridCol w:w="779"/>
        <w:gridCol w:w="8460"/>
      </w:tblGrid>
      <w:tr>
        <w:tblPrEx>
          <w:tblCellMar>
            <w:top w:w="0" w:type="dxa"/>
            <w:left w:w="108" w:type="dxa"/>
            <w:bottom w:w="0" w:type="dxa"/>
            <w:right w:w="108" w:type="dxa"/>
          </w:tblCellMar>
        </w:tblPrEx>
        <w:trPr>
          <w:trHeight w:val="510" w:hRule="atLeast"/>
          <w:jc w:val="center"/>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类别</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序号</w:t>
            </w:r>
          </w:p>
        </w:tc>
        <w:tc>
          <w:tcPr>
            <w:tcW w:w="8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材料名称</w:t>
            </w:r>
          </w:p>
        </w:tc>
      </w:tr>
      <w:tr>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建设单位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施工（工程）总承包合同</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专业承包合同</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建设工程监理合同</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勘察、设计合同</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5</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施工图审查合格书、报告书及审查合格的施工图</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6</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施工许可证（复印件）</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7</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建设工程款支付凭证、监理费支付凭证</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8</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农民工工资支付凭证</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9</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工程款支付担保凭证（复印件）</w:t>
            </w:r>
          </w:p>
        </w:tc>
      </w:tr>
      <w:tr>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施工总承包单位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10</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资质证书（复印件）</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11</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项目部主要管理人员花名册</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12</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项目经理劳动合同、社保证明、注册证书（复印件）、工资发放单</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13</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技术负责人劳动合同、社保证明、职称证书（复印件）、工资发放单</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14</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质量负责人劳动合同、社保证明、岗位证书（复印件）、工资发放单</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15</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安全负责人劳动合同、社保证明、岗位证书（复印件）、工资发放单</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16</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专（兼）职建筑工人实名制管理人员任职文件、劳动合同、社保证明、工资发放单</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17</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建筑工人劳动合同</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18</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专业分包合同</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19</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劳务分包合同</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20</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材料设备采购合同</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21</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材料设备租赁合同</w:t>
            </w:r>
          </w:p>
        </w:tc>
      </w:tr>
      <w:tr>
        <w:tblPrEx>
          <w:tblCellMar>
            <w:top w:w="0" w:type="dxa"/>
            <w:left w:w="108" w:type="dxa"/>
            <w:bottom w:w="0" w:type="dxa"/>
            <w:right w:w="108" w:type="dxa"/>
          </w:tblCellMar>
        </w:tblPrEx>
        <w:trPr>
          <w:trHeight w:val="510" w:hRule="atLeast"/>
          <w:jc w:val="center"/>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类别</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序号</w:t>
            </w:r>
          </w:p>
        </w:tc>
        <w:tc>
          <w:tcPr>
            <w:tcW w:w="8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材料名称</w:t>
            </w:r>
          </w:p>
        </w:tc>
      </w:tr>
      <w:tr>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施工总承包单位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22</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专业分包工程款支付凭证</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23</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劳务分包款支付凭证</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24</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农民工工资保证金缴纳凭证</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25</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农民工工资专用账户</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26</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材料设备采购（租赁）台帐、支付凭证</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27</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自有机械设备、周转材料的证明</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28</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施工单位的施工日志</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29</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建筑工人实名制信息化管理制度（以福建省劳务实名制管理平台数据为准）</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30</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建筑工人实名制管理相关硬件设施设备</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31</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“建筑工人维权告示牌”</w:t>
            </w:r>
          </w:p>
        </w:tc>
      </w:tr>
      <w:tr>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分包</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32</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资质证书（复印件）</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33</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现场负责人劳动合同、社保证明、注册证书（复印件）、工资发放单</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34</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委托施工总承包企业通过农民工工资专用账户向建筑工人代发工资的合同或协议</w:t>
            </w:r>
          </w:p>
        </w:tc>
      </w:tr>
      <w:tr>
        <w:tblPrEx>
          <w:tblCellMar>
            <w:top w:w="0" w:type="dxa"/>
            <w:left w:w="108" w:type="dxa"/>
            <w:bottom w:w="0" w:type="dxa"/>
            <w:right w:w="108" w:type="dxa"/>
          </w:tblCellMar>
        </w:tblPrEx>
        <w:trPr>
          <w:trHeight w:val="510"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kern w:val="0"/>
                <w:sz w:val="24"/>
                <w:szCs w:val="24"/>
                <w:lang w:bidi="ar"/>
              </w:rPr>
              <w:t>监理</w:t>
            </w:r>
            <w:r>
              <w:rPr>
                <w:rFonts w:hint="eastAsia" w:ascii="仿宋_GB2312" w:hAnsi="仿宋_GB2312" w:eastAsia="仿宋_GB2312" w:cs="仿宋_GB2312"/>
                <w:b/>
                <w:color w:val="auto"/>
                <w:kern w:val="0"/>
                <w:sz w:val="24"/>
                <w:szCs w:val="24"/>
                <w:lang w:bidi="ar"/>
              </w:rPr>
              <w:br w:type="textWrapping"/>
            </w:r>
            <w:r>
              <w:rPr>
                <w:rFonts w:hint="eastAsia" w:ascii="仿宋_GB2312" w:hAnsi="仿宋_GB2312" w:eastAsia="仿宋_GB2312" w:cs="仿宋_GB2312"/>
                <w:b/>
                <w:color w:val="auto"/>
                <w:kern w:val="0"/>
                <w:sz w:val="24"/>
                <w:szCs w:val="24"/>
                <w:lang w:bidi="ar"/>
              </w:rPr>
              <w:t>单位</w:t>
            </w: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35</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Style w:val="10"/>
                <w:rFonts w:hint="eastAsia" w:ascii="仿宋_GB2312" w:hAnsi="仿宋_GB2312" w:eastAsia="仿宋_GB2312" w:cs="仿宋_GB2312"/>
                <w:color w:val="auto"/>
                <w:sz w:val="24"/>
                <w:szCs w:val="24"/>
                <w:lang w:bidi="ar"/>
              </w:rPr>
              <w:t>资质证书</w:t>
            </w:r>
            <w:r>
              <w:rPr>
                <w:rStyle w:val="11"/>
                <w:rFonts w:hint="eastAsia" w:ascii="仿宋_GB2312" w:hAnsi="仿宋_GB2312" w:eastAsia="仿宋_GB2312" w:cs="仿宋_GB2312"/>
                <w:color w:val="auto"/>
                <w:sz w:val="24"/>
                <w:szCs w:val="24"/>
                <w:lang w:bidi="ar"/>
              </w:rPr>
              <w:t>（</w:t>
            </w:r>
            <w:r>
              <w:rPr>
                <w:rStyle w:val="12"/>
                <w:rFonts w:hint="eastAsia" w:ascii="仿宋_GB2312" w:hAnsi="仿宋_GB2312" w:eastAsia="仿宋_GB2312" w:cs="仿宋_GB2312"/>
                <w:color w:val="auto"/>
                <w:sz w:val="24"/>
                <w:szCs w:val="24"/>
                <w:lang w:bidi="ar"/>
              </w:rPr>
              <w:t>复印件</w:t>
            </w:r>
            <w:r>
              <w:rPr>
                <w:rStyle w:val="11"/>
                <w:rFonts w:hint="eastAsia" w:ascii="仿宋_GB2312" w:hAnsi="仿宋_GB2312" w:eastAsia="仿宋_GB2312" w:cs="仿宋_GB2312"/>
                <w:color w:val="auto"/>
                <w:sz w:val="24"/>
                <w:szCs w:val="24"/>
                <w:lang w:bidi="ar"/>
              </w:rPr>
              <w:t>）</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36</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bidi="ar"/>
              </w:rPr>
              <w:t>项目监理机构组织架构及现场人员花名册、考勤表、项目监管系统项目监理机构人员登记表</w:t>
            </w:r>
            <w:r>
              <w:rPr>
                <w:rFonts w:hint="eastAsia" w:ascii="仿宋_GB2312" w:hAnsi="仿宋_GB2312" w:eastAsia="仿宋_GB2312" w:cs="仿宋_GB2312"/>
                <w:color w:val="auto"/>
                <w:kern w:val="0"/>
                <w:sz w:val="24"/>
                <w:szCs w:val="24"/>
                <w:lang w:eastAsia="zh-CN" w:bidi="ar"/>
              </w:rPr>
              <w:t>，</w:t>
            </w:r>
            <w:r>
              <w:rPr>
                <w:rFonts w:hint="eastAsia" w:ascii="仿宋_GB2312" w:hAnsi="仿宋_GB2312" w:eastAsia="仿宋_GB2312" w:cs="仿宋_GB2312"/>
                <w:color w:val="auto"/>
                <w:sz w:val="24"/>
                <w:lang w:eastAsia="zh-CN"/>
              </w:rPr>
              <w:t>企业负责人和项目负责人开展安全自查相关情况。</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37</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总监理工程师劳动合同、任命书、社保证明、注册证书（复印件）、工资发放单、变更（如有变更）材料</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38</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专业监理工程师劳动合同、社保证明、业务培训证书（复印件）、工资发放单</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39</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监理员劳动合同、社保证明、业务培训证书（复印件）、工资发放单</w:t>
            </w:r>
          </w:p>
        </w:tc>
      </w:tr>
      <w:tr>
        <w:tblPrEx>
          <w:tblCellMar>
            <w:top w:w="0" w:type="dxa"/>
            <w:left w:w="108" w:type="dxa"/>
            <w:bottom w:w="0" w:type="dxa"/>
            <w:right w:w="108" w:type="dxa"/>
          </w:tblCellMar>
        </w:tblPrEx>
        <w:trPr>
          <w:trHeight w:val="510"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color w:val="auto"/>
                <w:sz w:val="24"/>
                <w:szCs w:val="24"/>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40</w:t>
            </w:r>
          </w:p>
        </w:tc>
        <w:tc>
          <w:tcPr>
            <w:tcW w:w="8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监理日志、监理月报、会议纪要（含第一次工地例会、监理例会、专题会议等）</w:t>
            </w:r>
          </w:p>
        </w:tc>
      </w:tr>
    </w:tbl>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lang w:eastAsia="zh-CN"/>
        </w:rPr>
      </w:pP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lang w:eastAsia="zh-CN"/>
        </w:rPr>
        <w:sectPr>
          <w:footerReference r:id="rId3" w:type="default"/>
          <w:pgSz w:w="11906" w:h="16838"/>
          <w:pgMar w:top="2098" w:right="1644" w:bottom="1701" w:left="1701" w:header="851" w:footer="992" w:gutter="0"/>
          <w:pgNumType w:fmt="numberInDash"/>
          <w:cols w:space="720" w:num="1"/>
          <w:rtlGutter w:val="0"/>
          <w:docGrid w:type="linesAndChars" w:linePitch="592" w:charSpace="-5078"/>
        </w:sectPr>
      </w:pPr>
    </w:p>
    <w:p>
      <w:pPr>
        <w:spacing w:line="500" w:lineRule="exact"/>
        <w:rPr>
          <w:rFonts w:hint="eastAsia" w:ascii="宋体" w:hAnsi="宋体" w:eastAsia="黑体" w:cs="宋体"/>
          <w:b/>
          <w:bCs/>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pacing w:line="500" w:lineRule="exact"/>
        <w:jc w:val="center"/>
        <w:rPr>
          <w:rFonts w:hint="eastAsia" w:ascii="宋体" w:hAnsi="宋体" w:eastAsia="宋体" w:cs="宋体"/>
          <w:b/>
          <w:bCs/>
          <w:color w:val="auto"/>
          <w:sz w:val="40"/>
          <w:szCs w:val="40"/>
        </w:rPr>
      </w:pPr>
    </w:p>
    <w:p>
      <w:pPr>
        <w:spacing w:line="500" w:lineRule="exact"/>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参加交叉检查人员名单回执</w:t>
      </w:r>
    </w:p>
    <w:p>
      <w:pPr>
        <w:spacing w:line="540" w:lineRule="exact"/>
        <w:rPr>
          <w:rFonts w:hint="eastAsia" w:ascii="黑体" w:hAnsi="黑体" w:eastAsia="黑体" w:cs="黑体"/>
          <w:color w:val="auto"/>
          <w:sz w:val="32"/>
          <w:szCs w:val="32"/>
        </w:rPr>
      </w:pPr>
    </w:p>
    <w:tbl>
      <w:tblPr>
        <w:tblStyle w:val="8"/>
        <w:tblW w:w="12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624"/>
        <w:gridCol w:w="3953"/>
        <w:gridCol w:w="1964"/>
        <w:gridCol w:w="2529"/>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90" w:type="dxa"/>
            <w:noWrap w:val="0"/>
            <w:vAlign w:val="top"/>
          </w:tcPr>
          <w:p>
            <w:pPr>
              <w:spacing w:line="540" w:lineRule="exact"/>
              <w:jc w:val="center"/>
              <w:rPr>
                <w:rFonts w:hint="eastAsia" w:ascii="宋体" w:hAnsi="宋体" w:eastAsia="宋体" w:cs="宋体"/>
                <w:b/>
                <w:bCs/>
                <w:color w:val="auto"/>
                <w:spacing w:val="-8"/>
                <w:sz w:val="28"/>
                <w:szCs w:val="28"/>
                <w:vertAlign w:val="baseline"/>
                <w:lang w:eastAsia="zh-CN"/>
              </w:rPr>
            </w:pPr>
            <w:r>
              <w:rPr>
                <w:rFonts w:hint="eastAsia" w:ascii="宋体" w:hAnsi="宋体" w:eastAsia="宋体" w:cs="宋体"/>
                <w:b/>
                <w:bCs/>
                <w:color w:val="auto"/>
                <w:spacing w:val="-8"/>
                <w:sz w:val="28"/>
                <w:szCs w:val="28"/>
                <w:vertAlign w:val="baseline"/>
                <w:lang w:eastAsia="zh-CN"/>
              </w:rPr>
              <w:t>序</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号</w:t>
            </w:r>
          </w:p>
        </w:tc>
        <w:tc>
          <w:tcPr>
            <w:tcW w:w="1624" w:type="dxa"/>
            <w:noWrap w:val="0"/>
            <w:vAlign w:val="top"/>
          </w:tcPr>
          <w:p>
            <w:pPr>
              <w:spacing w:line="540" w:lineRule="exact"/>
              <w:jc w:val="center"/>
              <w:rPr>
                <w:rFonts w:hint="eastAsia" w:ascii="宋体" w:hAnsi="宋体" w:eastAsia="宋体" w:cs="宋体"/>
                <w:b/>
                <w:bCs/>
                <w:color w:val="auto"/>
                <w:spacing w:val="-8"/>
                <w:sz w:val="28"/>
                <w:szCs w:val="28"/>
                <w:vertAlign w:val="baseline"/>
                <w:lang w:eastAsia="zh-CN"/>
              </w:rPr>
            </w:pPr>
            <w:r>
              <w:rPr>
                <w:rFonts w:hint="eastAsia" w:ascii="宋体" w:hAnsi="宋体" w:eastAsia="宋体" w:cs="宋体"/>
                <w:b/>
                <w:bCs/>
                <w:color w:val="auto"/>
                <w:spacing w:val="-8"/>
                <w:sz w:val="28"/>
                <w:szCs w:val="28"/>
                <w:vertAlign w:val="baseline"/>
                <w:lang w:eastAsia="zh-CN"/>
              </w:rPr>
              <w:t>姓</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名</w:t>
            </w:r>
          </w:p>
        </w:tc>
        <w:tc>
          <w:tcPr>
            <w:tcW w:w="3953" w:type="dxa"/>
            <w:noWrap w:val="0"/>
            <w:vAlign w:val="top"/>
          </w:tcPr>
          <w:p>
            <w:pPr>
              <w:spacing w:line="540" w:lineRule="exact"/>
              <w:jc w:val="center"/>
              <w:rPr>
                <w:rFonts w:hint="eastAsia" w:ascii="宋体" w:hAnsi="宋体" w:eastAsia="宋体" w:cs="宋体"/>
                <w:b/>
                <w:bCs/>
                <w:color w:val="auto"/>
                <w:spacing w:val="-8"/>
                <w:sz w:val="28"/>
                <w:szCs w:val="28"/>
                <w:vertAlign w:val="baseline"/>
                <w:lang w:eastAsia="zh-CN"/>
              </w:rPr>
            </w:pPr>
            <w:r>
              <w:rPr>
                <w:rFonts w:hint="eastAsia" w:ascii="宋体" w:hAnsi="宋体" w:eastAsia="宋体" w:cs="宋体"/>
                <w:b/>
                <w:bCs/>
                <w:color w:val="auto"/>
                <w:spacing w:val="-8"/>
                <w:sz w:val="28"/>
                <w:szCs w:val="28"/>
                <w:vertAlign w:val="baseline"/>
                <w:lang w:eastAsia="zh-CN"/>
              </w:rPr>
              <w:t>工</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作</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单</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位（全</w:t>
            </w:r>
            <w:r>
              <w:rPr>
                <w:rFonts w:hint="eastAsia" w:ascii="宋体" w:hAnsi="宋体" w:eastAsia="宋体" w:cs="宋体"/>
                <w:b/>
                <w:bCs/>
                <w:color w:val="auto"/>
                <w:spacing w:val="-8"/>
                <w:sz w:val="28"/>
                <w:szCs w:val="28"/>
                <w:vertAlign w:val="baseline"/>
                <w:lang w:val="en-US" w:eastAsia="zh-CN"/>
              </w:rPr>
              <w:t>称</w:t>
            </w:r>
            <w:r>
              <w:rPr>
                <w:rFonts w:hint="eastAsia" w:ascii="宋体" w:hAnsi="宋体" w:eastAsia="宋体" w:cs="宋体"/>
                <w:b/>
                <w:bCs/>
                <w:color w:val="auto"/>
                <w:spacing w:val="-8"/>
                <w:sz w:val="28"/>
                <w:szCs w:val="28"/>
                <w:vertAlign w:val="baseline"/>
                <w:lang w:eastAsia="zh-CN"/>
              </w:rPr>
              <w:t>）</w:t>
            </w:r>
            <w:r>
              <w:rPr>
                <w:rFonts w:hint="eastAsia" w:ascii="宋体" w:hAnsi="宋体" w:eastAsia="宋体" w:cs="宋体"/>
                <w:b/>
                <w:bCs/>
                <w:color w:val="auto"/>
                <w:spacing w:val="-8"/>
                <w:sz w:val="28"/>
                <w:szCs w:val="28"/>
                <w:vertAlign w:val="baseline"/>
                <w:lang w:val="en-US" w:eastAsia="zh-CN"/>
              </w:rPr>
              <w:t xml:space="preserve"> </w:t>
            </w:r>
          </w:p>
        </w:tc>
        <w:tc>
          <w:tcPr>
            <w:tcW w:w="1964" w:type="dxa"/>
            <w:noWrap w:val="0"/>
            <w:vAlign w:val="top"/>
          </w:tcPr>
          <w:p>
            <w:pPr>
              <w:spacing w:line="540" w:lineRule="exact"/>
              <w:jc w:val="center"/>
              <w:rPr>
                <w:rFonts w:hint="eastAsia" w:ascii="宋体" w:hAnsi="宋体" w:eastAsia="宋体" w:cs="宋体"/>
                <w:b/>
                <w:bCs/>
                <w:color w:val="auto"/>
                <w:spacing w:val="-8"/>
                <w:sz w:val="28"/>
                <w:szCs w:val="28"/>
                <w:vertAlign w:val="baseline"/>
                <w:lang w:eastAsia="zh-CN"/>
              </w:rPr>
            </w:pPr>
            <w:r>
              <w:rPr>
                <w:rFonts w:hint="eastAsia" w:ascii="宋体" w:hAnsi="宋体" w:eastAsia="宋体" w:cs="宋体"/>
                <w:b/>
                <w:bCs/>
                <w:color w:val="auto"/>
                <w:spacing w:val="-8"/>
                <w:sz w:val="28"/>
                <w:szCs w:val="28"/>
                <w:vertAlign w:val="baseline"/>
                <w:lang w:eastAsia="zh-CN"/>
              </w:rPr>
              <w:t>职务（职称）</w:t>
            </w:r>
          </w:p>
        </w:tc>
        <w:tc>
          <w:tcPr>
            <w:tcW w:w="2529" w:type="dxa"/>
            <w:noWrap w:val="0"/>
            <w:vAlign w:val="top"/>
          </w:tcPr>
          <w:p>
            <w:pPr>
              <w:spacing w:line="540" w:lineRule="exact"/>
              <w:jc w:val="center"/>
              <w:rPr>
                <w:rFonts w:hint="eastAsia" w:ascii="宋体" w:hAnsi="宋体" w:eastAsia="宋体" w:cs="宋体"/>
                <w:b/>
                <w:bCs/>
                <w:color w:val="auto"/>
                <w:spacing w:val="-8"/>
                <w:sz w:val="28"/>
                <w:szCs w:val="28"/>
                <w:vertAlign w:val="baseline"/>
                <w:lang w:eastAsia="zh-CN"/>
              </w:rPr>
            </w:pPr>
            <w:r>
              <w:rPr>
                <w:rFonts w:hint="eastAsia" w:ascii="宋体" w:hAnsi="宋体" w:eastAsia="宋体" w:cs="宋体"/>
                <w:b/>
                <w:bCs/>
                <w:color w:val="auto"/>
                <w:spacing w:val="-8"/>
                <w:sz w:val="28"/>
                <w:szCs w:val="28"/>
                <w:vertAlign w:val="baseline"/>
                <w:lang w:eastAsia="zh-CN"/>
              </w:rPr>
              <w:t>联</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系</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电</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话</w:t>
            </w:r>
          </w:p>
        </w:tc>
        <w:tc>
          <w:tcPr>
            <w:tcW w:w="1821" w:type="dxa"/>
            <w:noWrap w:val="0"/>
            <w:vAlign w:val="top"/>
          </w:tcPr>
          <w:p>
            <w:pPr>
              <w:spacing w:line="540" w:lineRule="exact"/>
              <w:jc w:val="center"/>
              <w:rPr>
                <w:rFonts w:hint="eastAsia" w:ascii="宋体" w:hAnsi="宋体" w:eastAsia="宋体" w:cs="宋体"/>
                <w:b/>
                <w:bCs/>
                <w:color w:val="auto"/>
                <w:spacing w:val="-8"/>
                <w:sz w:val="28"/>
                <w:szCs w:val="28"/>
                <w:vertAlign w:val="baseline"/>
                <w:lang w:eastAsia="zh-CN"/>
              </w:rPr>
            </w:pPr>
            <w:r>
              <w:rPr>
                <w:rFonts w:hint="eastAsia" w:ascii="宋体" w:hAnsi="宋体" w:eastAsia="宋体" w:cs="宋体"/>
                <w:b/>
                <w:bCs/>
                <w:color w:val="auto"/>
                <w:spacing w:val="-8"/>
                <w:sz w:val="28"/>
                <w:szCs w:val="28"/>
                <w:vertAlign w:val="baseline"/>
                <w:lang w:eastAsia="zh-CN"/>
              </w:rPr>
              <w:t>检</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查</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专</w:t>
            </w:r>
            <w:r>
              <w:rPr>
                <w:rFonts w:hint="eastAsia" w:ascii="宋体" w:hAnsi="宋体" w:eastAsia="宋体" w:cs="宋体"/>
                <w:b/>
                <w:bCs/>
                <w:color w:val="auto"/>
                <w:spacing w:val="-8"/>
                <w:sz w:val="28"/>
                <w:szCs w:val="28"/>
                <w:vertAlign w:val="baseline"/>
                <w:lang w:val="en-US" w:eastAsia="zh-CN"/>
              </w:rPr>
              <w:t xml:space="preserve"> </w:t>
            </w:r>
            <w:r>
              <w:rPr>
                <w:rFonts w:hint="eastAsia" w:ascii="宋体" w:hAnsi="宋体" w:eastAsia="宋体" w:cs="宋体"/>
                <w:b/>
                <w:bCs/>
                <w:color w:val="auto"/>
                <w:spacing w:val="-8"/>
                <w:sz w:val="28"/>
                <w:szCs w:val="28"/>
                <w:vertAlign w:val="baseline"/>
                <w:lang w:eastAsia="zh-CN"/>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62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3953"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96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2529"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821"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62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3953"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96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2529"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821"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62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3953"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96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2529"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821"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62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3953"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96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2529"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821"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62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3953"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96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2529"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821"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62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3953"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96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2529"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821"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62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3953"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96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2529"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821"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62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3953"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96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2529"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821"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62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3953"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964"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2529"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c>
          <w:tcPr>
            <w:tcW w:w="1821" w:type="dxa"/>
            <w:noWrap w:val="0"/>
            <w:vAlign w:val="top"/>
          </w:tcPr>
          <w:p>
            <w:pPr>
              <w:spacing w:line="540" w:lineRule="exact"/>
              <w:jc w:val="center"/>
              <w:rPr>
                <w:rFonts w:hint="eastAsia" w:ascii="仿宋_GB2312" w:hAnsi="Times New Roman" w:eastAsia="仿宋_GB2312" w:cs="Times New Roman"/>
                <w:color w:val="auto"/>
                <w:spacing w:val="-8"/>
                <w:sz w:val="28"/>
                <w:szCs w:val="28"/>
                <w:vertAlign w:val="baseline"/>
              </w:rPr>
            </w:pPr>
          </w:p>
        </w:tc>
      </w:tr>
    </w:tbl>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lang w:eastAsia="zh-CN"/>
        </w:rPr>
        <w:sectPr>
          <w:pgSz w:w="16838" w:h="11906" w:orient="landscape"/>
          <w:pgMar w:top="1701" w:right="2098" w:bottom="1644" w:left="1701" w:header="851" w:footer="992" w:gutter="0"/>
          <w:pgNumType w:fmt="numberInDash"/>
          <w:cols w:space="720" w:num="1"/>
          <w:rtlGutter w:val="0"/>
          <w:docGrid w:type="linesAndChars" w:linePitch="593" w:charSpace="-4046"/>
        </w:sectPr>
      </w:pPr>
    </w:p>
    <w:p>
      <w:pPr>
        <w:spacing w:line="560" w:lineRule="atLeast"/>
        <w:ind w:right="1184" w:rightChars="400"/>
        <w:rPr>
          <w:rFonts w:hint="eastAsia" w:ascii="仿宋_GB2312"/>
          <w:spacing w:val="-6"/>
        </w:rPr>
      </w:pPr>
    </w:p>
    <w:p>
      <w:bookmarkStart w:id="0" w:name="_GoBack"/>
      <w:bookmarkEnd w:id="0"/>
    </w:p>
    <w:sectPr>
      <w:headerReference r:id="rId4" w:type="default"/>
      <w:footerReference r:id="rId5" w:type="default"/>
      <w:footerReference r:id="rId6" w:type="even"/>
      <w:pgSz w:w="11906" w:h="16838"/>
      <w:pgMar w:top="2098" w:right="1644" w:bottom="1701" w:left="1701" w:header="851" w:footer="1417" w:gutter="0"/>
      <w:pgNumType w:fmt="numberInDash"/>
      <w:cols w:space="720" w:num="1"/>
      <w:docGrid w:type="linesAndChars" w:linePitch="579" w:charSpace="-50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altName w:val="Malgun Gothic"/>
    <w:panose1 w:val="020B0502040204020203"/>
    <w:charset w:val="00"/>
    <w:family w:val="swiss"/>
    <w:pitch w:val="default"/>
    <w:sig w:usb0="00000000" w:usb1="00000000" w:usb2="00000012" w:usb3="00000000" w:csb0="003E01BD"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oaaI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ShpojgCAABvBAAADgAAAAAAAAABACAAAAAfAQAAZHJzL2Uyb0RvYy54&#10;bWxQSwUGAAAAAAYABgBZAQAAyQUAAAAA&#10;">
              <v:fill on="f" focussize="0,0"/>
              <v:stroke on="f" weight="0.5pt"/>
              <v:imagedata o:title=""/>
              <o:lock v:ext="edit" aspectratio="f"/>
              <v:textbox inset="0mm,0mm,0mm,0mm" style="mso-fit-shape-to-text:t;">
                <w:txbxContent>
                  <w:p>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iEleEBAADBAwAADgAAAGRycy9lMm9Eb2MueG1srVPBjtMwEL0j8Q+W&#10;7zRpV6CqaroCqkVICJAWPsB1nMaS7bHsaZPyAfAHnLhw57v6HYydpMvuXvbAJRnPjN/MezNeX/fW&#10;sKMKUYOr+HxWcqachFq7fcW/frl5seQsonC1MOBUxU8q8uvN82frzq/UAlowtQqMQFxcdb7iLaJf&#10;FUWUrbIizsArR8EGghVIx7Av6iA6QremWJTlq6KDUPsAUsVI3u0Q5CNieAogNI2WagvyYJXDATUo&#10;I5AoxVb7yDe526ZREj81TVTITMWJKeYvFSF7l77FZi1W+yB8q+XYgnhKCw84WaEdFb1AbQUKdgj6&#10;EZTVMkCEBmcSbDEQyYoQi3n5QJvbVniVuZDU0V9Ej/8PVn48fg5M1xV/yZkTlgZ+/vnj/OvP+fd3&#10;Ni+vrpJCnY8rSrz1lIr9G+hpbyZ/JGci3jfBpj9RYhQnfU8XfVWPTKZLy8VyWVJIUmw6EH5xd92H&#10;iO8UWJaMigcaYNZVHD9EHFKnlFTNwY02Jg/RuHsOwkyeIvU+9Jgs7Hf9SGgH9Yn40EugOi2Eb5x1&#10;tAcVd7T2nJn3jmROKzMZYTJ2kyGcpIsVR84G8y0Oq3XwQe/bvGypqehfH5A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qWISV4QEAAMEDAAAOAAAA&#10;AAAAAAEAIAAAAB4BAABkcnMvZTJvRG9jLnhtbFBLBQYAAAAABgAGAFkBAABxBQ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3pWT+EBAADBAwAADgAAAGRycy9lMm9Eb2MueG1srVPBjtMwEL0j8Q+W&#10;7zRpQauqaroCqkVICJAWPsB1nMaS7bE8bpPyAfAHnLhw57v6HYydpMvuXvbAJRnPjN/MezNeX/fW&#10;sKMKqMFVfD4rOVNOQq3dvuJfv9y8WHKGUbhaGHCq4ieF/Hrz/Nm68yu1gBZMrQIjEIerzle8jdGv&#10;igJlq6zAGXjlKNhAsCLSMeyLOoiO0K0pFmV5VXQQah9AKkTybocgHxHDUwChabRUW5AHq1wcUIMy&#10;IhIlbLVHvsndNo2S8VPToIrMVJyYxvylImTv0rfYrMVqH4RvtRxbEE9p4QEnK7SjoheorYiCHYJ+&#10;BGW1DIDQxJkEWwxEsiLEYl4+0Oa2FV5lLiQ1+ovo+P9g5cfj58B0XfErzpywNPDzzx/nX3/Ov7+z&#10;efnyVVKo87iixFtPqbF/Az3tzeRHcibifRNs+hMlRnHS93TRV/WRyXRpuVguSwpJik0Hwi/urvuA&#10;8Z0Cy5JR8UADzLqK4weMQ+qUkqo5uNHG5CEad89BmMlTpN6HHpMV+10/EtpBfSI+9BKoTgvhG2cd&#10;7UHFHa09Z+a9I5nTykxGmIzdZAgn6WLFI2eD+TYOq3XwQe/bvGypKfSvD5E6zQRSG0PtsTuabJZg&#10;3MK0Ov+ec9bdy9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TelZP4QEAAMEDAAAOAAAA&#10;AAAAAAEAIAAAAB4BAABkcnMvZTJvRG9jLnhtbFBLBQYAAAAABgAGAFkBAABxBQAAAAA=&#10;">
              <v:fill on="f" focussize="0,0"/>
              <v:stroke on="f"/>
              <v:imagedata o:title=""/>
              <o:lock v:ext="edit" aspectratio="f"/>
              <v:textbox inset="0mm,0mm,0mm,0mm" style="mso-fit-shape-to-text:t;">
                <w:txbxContent>
                  <w:p>
                    <w:pPr>
                      <w:pStyle w:val="5"/>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ind w:left="525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6F031447"/>
    <w:rsid w:val="6F03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_GBK" w:hAnsi="方正仿宋_GBK" w:eastAsia="方正仿宋_GBK" w:cs="方正仿宋_GBK"/>
      <w:color w:val="000000"/>
      <w:sz w:val="24"/>
      <w:szCs w:val="24"/>
      <w:lang w:val="en-US" w:eastAsia="zh-CN" w:bidi="ar-SA"/>
    </w:rPr>
  </w:style>
  <w:style w:type="paragraph" w:styleId="3">
    <w:name w:val="Balloon Text"/>
    <w:next w:val="4"/>
    <w:qFormat/>
    <w:uiPriority w:val="0"/>
    <w:pPr>
      <w:widowControl w:val="0"/>
      <w:jc w:val="both"/>
    </w:pPr>
    <w:rPr>
      <w:rFonts w:ascii="Calibri" w:hAnsi="Calibri" w:eastAsia="宋体" w:cs="Times New Roman"/>
      <w:kern w:val="2"/>
      <w:sz w:val="18"/>
      <w:szCs w:val="18"/>
      <w:lang w:val="en-US" w:eastAsia="zh-CN" w:bidi="ar-SA"/>
    </w:rPr>
  </w:style>
  <w:style w:type="paragraph" w:customStyle="1" w:styleId="4">
    <w:name w:val="正文缩进311"/>
    <w:next w:val="1"/>
    <w:qFormat/>
    <w:uiPriority w:val="0"/>
    <w:pPr>
      <w:wordWrap w:val="0"/>
      <w:ind w:left="3400"/>
      <w:jc w:val="both"/>
    </w:pPr>
    <w:rPr>
      <w:rFonts w:ascii="Times New Roman" w:hAnsi="Times New Roman" w:eastAsia="仿宋"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qFormat/>
    <w:uiPriority w:val="0"/>
    <w:rPr>
      <w:rFonts w:hint="eastAsia" w:ascii="仿宋_GB2312" w:hAnsi="Times New Roman" w:eastAsia="仿宋_GB2312" w:cs="仿宋_GB2312"/>
      <w:color w:val="000000"/>
      <w:sz w:val="24"/>
      <w:szCs w:val="24"/>
      <w:u w:val="none"/>
    </w:rPr>
  </w:style>
  <w:style w:type="character" w:customStyle="1" w:styleId="11">
    <w:name w:val="font01"/>
    <w:qFormat/>
    <w:uiPriority w:val="0"/>
    <w:rPr>
      <w:rFonts w:ascii="Malgun Gothic Semilight" w:hAnsi="Malgun Gothic Semilight" w:eastAsia="Malgun Gothic Semilight" w:cs="Malgun Gothic Semilight"/>
      <w:color w:val="000000"/>
      <w:sz w:val="24"/>
      <w:szCs w:val="24"/>
      <w:u w:val="none"/>
    </w:rPr>
  </w:style>
  <w:style w:type="character" w:customStyle="1" w:styleId="12">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2024-07-10T09:37:00Z</dcterms:created>
  <dc:creator>Administrator</dc:creator>
  <cp:lastModifiedBy>Administrator</cp:lastModifiedBy>
  <dcterms:modified xsi:type="dcterms:W3CDTF">2024-07-10T09:37:28Z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876A7E3C6C7A46AE9C4163B7574B26F2_11</vt:lpwstr>
  </property>
</Properties>
</file>