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83B8B">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jc w:val="center"/>
        <w:textAlignment w:val="auto"/>
        <w:rPr>
          <w:rFonts w:hint="default" w:ascii="Cambria" w:hAnsi="Cambria"/>
          <w:b/>
          <w:bCs/>
          <w:color w:val="auto"/>
          <w:sz w:val="44"/>
          <w:szCs w:val="44"/>
          <w:highlight w:val="none"/>
          <w:u w:val="none"/>
        </w:rPr>
      </w:pPr>
      <w:r>
        <w:rPr>
          <w:rFonts w:hint="default" w:ascii="Cambria" w:hAnsi="Cambria"/>
          <w:b/>
          <w:bCs/>
          <w:color w:val="auto"/>
          <w:sz w:val="44"/>
          <w:szCs w:val="44"/>
          <w:highlight w:val="none"/>
          <w:u w:val="none"/>
        </w:rPr>
        <w:t>泉州市商品房预售资金监督管理规定</w:t>
      </w:r>
    </w:p>
    <w:p w14:paraId="3BA7BBAF">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jc w:val="center"/>
        <w:textAlignment w:val="auto"/>
        <w:rPr>
          <w:rFonts w:hint="eastAsia" w:ascii="方正楷体简体" w:hAnsi="方正楷体简体" w:eastAsia="方正楷体简体" w:cs="方正楷体简体"/>
          <w:color w:val="auto"/>
          <w:sz w:val="32"/>
          <w:szCs w:val="32"/>
          <w:highlight w:val="none"/>
          <w:u w:val="none"/>
        </w:rPr>
      </w:pPr>
      <w:r>
        <w:rPr>
          <w:rFonts w:hint="eastAsia" w:ascii="方正楷体简体" w:hAnsi="方正楷体简体" w:eastAsia="方正楷体简体" w:cs="方正楷体简体"/>
          <w:b w:val="0"/>
          <w:bCs w:val="0"/>
          <w:color w:val="auto"/>
          <w:sz w:val="32"/>
          <w:szCs w:val="32"/>
          <w:highlight w:val="none"/>
          <w:u w:val="none"/>
        </w:rPr>
        <w:t>（202</w:t>
      </w:r>
      <w:r>
        <w:rPr>
          <w:rFonts w:hint="eastAsia" w:ascii="方正楷体简体" w:hAnsi="方正楷体简体" w:eastAsia="方正楷体简体" w:cs="方正楷体简体"/>
          <w:b w:val="0"/>
          <w:bCs w:val="0"/>
          <w:color w:val="auto"/>
          <w:sz w:val="32"/>
          <w:szCs w:val="32"/>
          <w:highlight w:val="none"/>
          <w:u w:val="none"/>
          <w:lang w:val="en-US" w:eastAsia="zh-CN"/>
        </w:rPr>
        <w:t>4</w:t>
      </w:r>
      <w:r>
        <w:rPr>
          <w:rFonts w:hint="eastAsia" w:ascii="方正楷体简体" w:hAnsi="方正楷体简体" w:eastAsia="方正楷体简体" w:cs="方正楷体简体"/>
          <w:b w:val="0"/>
          <w:bCs w:val="0"/>
          <w:color w:val="auto"/>
          <w:sz w:val="32"/>
          <w:szCs w:val="32"/>
          <w:highlight w:val="none"/>
          <w:u w:val="none"/>
        </w:rPr>
        <w:t>年</w:t>
      </w:r>
      <w:r>
        <w:rPr>
          <w:rFonts w:hint="eastAsia" w:ascii="方正楷体简体" w:hAnsi="方正楷体简体" w:eastAsia="方正楷体简体" w:cs="方正楷体简体"/>
          <w:b w:val="0"/>
          <w:bCs w:val="0"/>
          <w:color w:val="auto"/>
          <w:sz w:val="32"/>
          <w:szCs w:val="32"/>
          <w:highlight w:val="none"/>
          <w:u w:val="none"/>
          <w:lang w:val="en-US" w:eastAsia="zh-CN"/>
        </w:rPr>
        <w:t>1</w:t>
      </w:r>
      <w:r>
        <w:rPr>
          <w:rFonts w:hint="eastAsia" w:ascii="方正楷体简体" w:hAnsi="方正楷体简体" w:eastAsia="方正楷体简体" w:cs="方正楷体简体"/>
          <w:b w:val="0"/>
          <w:bCs w:val="0"/>
          <w:color w:val="auto"/>
          <w:sz w:val="32"/>
          <w:szCs w:val="32"/>
          <w:highlight w:val="none"/>
          <w:u w:val="none"/>
        </w:rPr>
        <w:t>月修订</w:t>
      </w:r>
      <w:r>
        <w:rPr>
          <w:rFonts w:hint="eastAsia" w:ascii="方正楷体简体" w:hAnsi="方正楷体简体" w:eastAsia="方正楷体简体" w:cs="方正楷体简体"/>
          <w:color w:val="auto"/>
          <w:sz w:val="32"/>
          <w:szCs w:val="32"/>
          <w:highlight w:val="none"/>
          <w:u w:val="none"/>
        </w:rPr>
        <w:t>的</w:t>
      </w:r>
      <w:r>
        <w:rPr>
          <w:rFonts w:hint="eastAsia" w:ascii="方正楷体简体" w:hAnsi="方正楷体简体" w:eastAsia="方正楷体简体" w:cs="方正楷体简体"/>
          <w:b w:val="0"/>
          <w:bCs w:val="0"/>
          <w:color w:val="auto"/>
          <w:sz w:val="32"/>
          <w:szCs w:val="32"/>
          <w:highlight w:val="none"/>
          <w:u w:val="none"/>
        </w:rPr>
        <w:t>征求意见稿）</w:t>
      </w:r>
    </w:p>
    <w:p w14:paraId="583360D6">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ind w:firstLine="597"/>
        <w:textAlignment w:val="auto"/>
        <w:rPr>
          <w:rFonts w:hint="eastAsia" w:ascii="Times New Roman" w:hAnsi="Times New Roman" w:cs="Times New Roman"/>
          <w:color w:val="auto"/>
          <w:sz w:val="32"/>
          <w:szCs w:val="32"/>
          <w:highlight w:val="none"/>
          <w:u w:val="none"/>
        </w:rPr>
      </w:pPr>
      <w:r>
        <w:rPr>
          <w:rFonts w:ascii="Times New Roman" w:hAnsi="Times New Roman" w:cs="Times New Roman"/>
          <w:color w:val="auto"/>
          <w:sz w:val="32"/>
          <w:szCs w:val="32"/>
          <w:highlight w:val="none"/>
          <w:u w:val="none"/>
        </w:rPr>
        <w:t xml:space="preserve"> </w:t>
      </w:r>
      <w:r>
        <w:rPr>
          <w:rFonts w:hint="eastAsia" w:ascii="Times New Roman" w:hAnsi="Times New Roman" w:cs="Times New Roman"/>
          <w:color w:val="auto"/>
          <w:sz w:val="32"/>
          <w:szCs w:val="32"/>
          <w:highlight w:val="none"/>
          <w:u w:val="none"/>
        </w:rPr>
        <w:t xml:space="preserve">            </w:t>
      </w:r>
    </w:p>
    <w:p w14:paraId="1B225A8F">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b w:val="0"/>
          <w:bCs w:val="0"/>
          <w:color w:val="auto"/>
          <w:sz w:val="32"/>
          <w:szCs w:val="32"/>
          <w:highlight w:val="none"/>
          <w:u w:val="none"/>
        </w:rPr>
        <w:t>根据《城市房地产管理法》、《城市商品房预售管理办法》、《福建省住房和城乡建设厅关于印发&lt;福建省商品房预售资金监管办法&gt;的通知》（闽建房〔2023〕12号）等法律法规和文件的规定，为进一步加强商品房预售资金监督管理，规范预售资金的缴存使用行为，保障预售资金优先用于项目工程建设，维护商品房交易双方合法权益，促进房地产市场平稳健康发展</w:t>
      </w:r>
      <w:r>
        <w:rPr>
          <w:rFonts w:hint="eastAsia" w:ascii="仿宋" w:hAnsi="仿宋" w:eastAsia="仿宋" w:cs="仿宋"/>
          <w:color w:val="auto"/>
          <w:sz w:val="32"/>
          <w:szCs w:val="32"/>
          <w:highlight w:val="none"/>
          <w:u w:val="none"/>
        </w:rPr>
        <w:t>，结合本市实际，制定本规定。</w:t>
      </w:r>
    </w:p>
    <w:p w14:paraId="6A515060">
      <w:pPr>
        <w:pStyle w:val="12"/>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240" w:lineRule="auto"/>
        <w:ind w:right="0" w:rightChars="0" w:firstLine="602" w:firstLineChars="200"/>
        <w:jc w:val="both"/>
        <w:textAlignment w:val="auto"/>
        <w:rPr>
          <w:rStyle w:val="27"/>
          <w:rFonts w:hint="eastAsia" w:ascii="黑体" w:hAnsi="黑体" w:eastAsia="黑体"/>
          <w:b w:val="0"/>
          <w:color w:val="auto"/>
          <w:spacing w:val="8"/>
          <w:sz w:val="32"/>
          <w:szCs w:val="32"/>
          <w:highlight w:val="none"/>
          <w:u w:val="none"/>
          <w:shd w:val="clear" w:color="auto" w:fill="FFFFFF"/>
        </w:rPr>
      </w:pPr>
      <w:r>
        <w:rPr>
          <w:rStyle w:val="27"/>
          <w:rFonts w:hint="eastAsia" w:ascii="黑体" w:hAnsi="黑体" w:eastAsia="黑体"/>
          <w:b w:val="0"/>
          <w:color w:val="auto"/>
          <w:sz w:val="32"/>
          <w:szCs w:val="32"/>
          <w:highlight w:val="none"/>
          <w:u w:val="none"/>
        </w:rPr>
        <w:t>一、</w:t>
      </w:r>
      <w:r>
        <w:rPr>
          <w:rStyle w:val="27"/>
          <w:rFonts w:ascii="黑体" w:hAnsi="黑体" w:eastAsia="黑体"/>
          <w:b w:val="0"/>
          <w:color w:val="auto"/>
          <w:sz w:val="32"/>
          <w:szCs w:val="32"/>
          <w:highlight w:val="none"/>
          <w:u w:val="none"/>
        </w:rPr>
        <w:t xml:space="preserve"> 总则</w:t>
      </w:r>
    </w:p>
    <w:p w14:paraId="0A09E94F">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（一）本市范围内新批准预售商品房的预售资金收存、使用及监督管理，适用本规定。</w:t>
      </w:r>
    </w:p>
    <w:p w14:paraId="3F15CC89">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（二）泉州市住房和城乡建设局（以下简称市住建局）负责指导全市商品房预售资金监管工作，负责统管区（鲤城区、丰泽区、洛江区、泉州台商投资区，下同）及泉州开发区商品房预售资金监管的组织实施。</w:t>
      </w:r>
    </w:p>
    <w:p w14:paraId="54DCF23A">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各县（市）、泉港区住建主管部门负责本辖区范围内商品房预售资金监管工作。</w:t>
      </w:r>
    </w:p>
    <w:p w14:paraId="15DC639D">
      <w:pPr>
        <w:pStyle w:val="4"/>
        <w:keepNext w:val="0"/>
        <w:keepLines w:val="0"/>
        <w:pageBreakBefore w:val="0"/>
        <w:shd w:val="clear" w:color="auto" w:fill="FFFFFF"/>
        <w:kinsoku/>
        <w:wordWrap/>
        <w:overflowPunct/>
        <w:topLinePunct w:val="0"/>
        <w:autoSpaceDN/>
        <w:bidi w:val="0"/>
        <w:spacing w:before="0" w:beforeAutospacing="0" w:after="0" w:afterAutospacing="0" w:line="240" w:lineRule="auto"/>
        <w:ind w:right="0" w:rightChars="0" w:firstLine="602"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市住建局委托泉州市房地产交易与监测中心，负责统管区及泉州开发区商品房预售资金监管制度落实情况的日常巡查、预售项目工程形象进度现场查勘、预售资金拨付受理和审核、预售资金信息系统建设等工作。</w:t>
      </w:r>
    </w:p>
    <w:p w14:paraId="7EF4DDA9">
      <w:pPr>
        <w:pStyle w:val="4"/>
        <w:keepNext w:val="0"/>
        <w:keepLines w:val="0"/>
        <w:pageBreakBefore w:val="0"/>
        <w:shd w:val="clear" w:color="auto" w:fill="FFFFFF"/>
        <w:kinsoku/>
        <w:wordWrap/>
        <w:overflowPunct/>
        <w:topLinePunct w:val="0"/>
        <w:autoSpaceDN/>
        <w:bidi w:val="0"/>
        <w:spacing w:before="0" w:beforeAutospacing="0" w:after="0" w:afterAutospacing="0" w:line="240" w:lineRule="auto"/>
        <w:ind w:right="0" w:rightChars="0" w:firstLine="602" w:firstLineChars="200"/>
        <w:jc w:val="left"/>
        <w:textAlignment w:val="auto"/>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lang w:eastAsia="zh-CN"/>
        </w:rPr>
        <w:t>市级</w:t>
      </w:r>
      <w:r>
        <w:rPr>
          <w:rFonts w:hint="eastAsia" w:ascii="仿宋" w:hAnsi="仿宋" w:eastAsia="仿宋" w:cs="仿宋"/>
          <w:b w:val="0"/>
          <w:bCs w:val="0"/>
          <w:color w:val="auto"/>
          <w:sz w:val="32"/>
          <w:szCs w:val="32"/>
          <w:highlight w:val="none"/>
          <w:u w:val="none"/>
        </w:rPr>
        <w:t>住建主管部门</w:t>
      </w:r>
      <w:r>
        <w:rPr>
          <w:rFonts w:hint="eastAsia" w:ascii="仿宋" w:hAnsi="仿宋" w:eastAsia="仿宋" w:cs="仿宋"/>
          <w:b w:val="0"/>
          <w:bCs w:val="0"/>
          <w:color w:val="auto"/>
          <w:sz w:val="32"/>
          <w:szCs w:val="32"/>
          <w:highlight w:val="none"/>
          <w:u w:val="none"/>
          <w:lang w:eastAsia="zh-CN"/>
        </w:rPr>
        <w:t>委托的</w:t>
      </w:r>
      <w:r>
        <w:rPr>
          <w:rFonts w:hint="eastAsia" w:ascii="仿宋" w:hAnsi="仿宋" w:eastAsia="仿宋" w:cs="仿宋"/>
          <w:b w:val="0"/>
          <w:bCs w:val="0"/>
          <w:color w:val="auto"/>
          <w:sz w:val="32"/>
          <w:szCs w:val="32"/>
          <w:highlight w:val="none"/>
          <w:u w:val="none"/>
        </w:rPr>
        <w:t>建设工程质量安全</w:t>
      </w:r>
      <w:r>
        <w:rPr>
          <w:rFonts w:hint="eastAsia" w:ascii="仿宋" w:hAnsi="仿宋" w:eastAsia="仿宋" w:cs="仿宋"/>
          <w:b w:val="0"/>
          <w:bCs w:val="0"/>
          <w:color w:val="auto"/>
          <w:sz w:val="32"/>
          <w:szCs w:val="32"/>
          <w:highlight w:val="none"/>
          <w:u w:val="none"/>
          <w:lang w:eastAsia="zh-CN"/>
        </w:rPr>
        <w:t>监督机构负责</w:t>
      </w:r>
      <w:r>
        <w:rPr>
          <w:rFonts w:hint="eastAsia" w:ascii="仿宋" w:hAnsi="仿宋" w:eastAsia="仿宋" w:cs="仿宋"/>
          <w:b w:val="0"/>
          <w:bCs w:val="0"/>
          <w:color w:val="auto"/>
          <w:sz w:val="32"/>
          <w:szCs w:val="32"/>
          <w:highlight w:val="none"/>
          <w:u w:val="none"/>
        </w:rPr>
        <w:t>预售项目</w:t>
      </w:r>
      <w:r>
        <w:rPr>
          <w:rFonts w:hint="eastAsia" w:ascii="仿宋" w:hAnsi="仿宋" w:eastAsia="仿宋" w:cs="仿宋"/>
          <w:b w:val="0"/>
          <w:bCs w:val="0"/>
          <w:color w:val="auto"/>
          <w:sz w:val="32"/>
          <w:szCs w:val="32"/>
          <w:highlight w:val="none"/>
          <w:u w:val="none"/>
          <w:lang w:eastAsia="zh-CN"/>
        </w:rPr>
        <w:t>的</w:t>
      </w:r>
      <w:r>
        <w:rPr>
          <w:rFonts w:hint="eastAsia" w:ascii="仿宋" w:hAnsi="仿宋" w:eastAsia="仿宋" w:cs="仿宋"/>
          <w:b w:val="0"/>
          <w:bCs w:val="0"/>
          <w:color w:val="auto"/>
          <w:sz w:val="32"/>
          <w:szCs w:val="32"/>
          <w:highlight w:val="none"/>
          <w:u w:val="none"/>
        </w:rPr>
        <w:t>工程质量监督管理</w:t>
      </w:r>
      <w:r>
        <w:rPr>
          <w:rFonts w:hint="eastAsia" w:ascii="仿宋" w:hAnsi="仿宋" w:eastAsia="仿宋" w:cs="仿宋"/>
          <w:b w:val="0"/>
          <w:bCs w:val="0"/>
          <w:color w:val="auto"/>
          <w:sz w:val="32"/>
          <w:szCs w:val="32"/>
          <w:highlight w:val="none"/>
          <w:u w:val="none"/>
          <w:lang w:eastAsia="zh-CN"/>
        </w:rPr>
        <w:t>，指导项目创建优质工程，配合落实</w:t>
      </w:r>
      <w:r>
        <w:rPr>
          <w:rFonts w:hint="eastAsia" w:ascii="仿宋" w:hAnsi="仿宋" w:eastAsia="仿宋" w:cs="仿宋"/>
          <w:b w:val="0"/>
          <w:bCs w:val="0"/>
          <w:color w:val="auto"/>
          <w:sz w:val="32"/>
          <w:szCs w:val="32"/>
          <w:highlight w:val="none"/>
          <w:u w:val="none"/>
        </w:rPr>
        <w:t>预售资金</w:t>
      </w:r>
      <w:r>
        <w:rPr>
          <w:rFonts w:hint="eastAsia" w:ascii="仿宋" w:hAnsi="仿宋" w:eastAsia="仿宋" w:cs="仿宋"/>
          <w:b w:val="0"/>
          <w:bCs w:val="0"/>
          <w:color w:val="auto"/>
          <w:sz w:val="32"/>
          <w:szCs w:val="32"/>
          <w:highlight w:val="none"/>
          <w:u w:val="none"/>
          <w:lang w:eastAsia="zh-CN"/>
        </w:rPr>
        <w:t>监管的相关工作。县级住建主管部门委托的</w:t>
      </w:r>
      <w:r>
        <w:rPr>
          <w:rFonts w:hint="eastAsia" w:ascii="仿宋" w:hAnsi="仿宋" w:eastAsia="仿宋" w:cs="仿宋"/>
          <w:b w:val="0"/>
          <w:bCs w:val="0"/>
          <w:color w:val="auto"/>
          <w:sz w:val="32"/>
          <w:szCs w:val="32"/>
          <w:highlight w:val="none"/>
          <w:u w:val="none"/>
        </w:rPr>
        <w:t>建设工程质量安全</w:t>
      </w:r>
      <w:r>
        <w:rPr>
          <w:rFonts w:hint="eastAsia" w:ascii="仿宋" w:hAnsi="仿宋" w:eastAsia="仿宋" w:cs="仿宋"/>
          <w:b w:val="0"/>
          <w:bCs w:val="0"/>
          <w:color w:val="auto"/>
          <w:sz w:val="32"/>
          <w:szCs w:val="32"/>
          <w:highlight w:val="none"/>
          <w:u w:val="none"/>
          <w:lang w:eastAsia="zh-CN"/>
        </w:rPr>
        <w:t>监督机构负责具体监督项目创建优质工程的全过程。</w:t>
      </w:r>
    </w:p>
    <w:p w14:paraId="7A172598">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Style w:val="27"/>
          <w:rFonts w:hint="eastAsia" w:ascii="仿宋" w:hAnsi="仿宋" w:eastAsia="仿宋" w:cs="仿宋"/>
          <w:color w:val="auto"/>
          <w:sz w:val="32"/>
          <w:szCs w:val="32"/>
          <w:highlight w:val="none"/>
          <w:u w:val="none"/>
        </w:rPr>
      </w:pPr>
      <w:r>
        <w:rPr>
          <w:rFonts w:hint="eastAsia" w:ascii="仿宋" w:hAnsi="仿宋" w:eastAsia="仿宋" w:cs="仿宋"/>
          <w:b w:val="0"/>
          <w:bCs w:val="0"/>
          <w:color w:val="auto"/>
          <w:sz w:val="32"/>
          <w:szCs w:val="32"/>
          <w:highlight w:val="none"/>
          <w:u w:val="none"/>
        </w:rPr>
        <w:t>商业银行、政策性银行（以下简称</w:t>
      </w:r>
      <w:r>
        <w:rPr>
          <w:rFonts w:hint="eastAsia" w:ascii="仿宋" w:hAnsi="仿宋" w:eastAsia="仿宋" w:cs="仿宋"/>
          <w:b w:val="0"/>
          <w:bCs w:val="0"/>
          <w:color w:val="auto"/>
          <w:spacing w:val="-8"/>
          <w:sz w:val="32"/>
          <w:szCs w:val="32"/>
          <w:highlight w:val="none"/>
          <w:u w:val="none"/>
        </w:rPr>
        <w:t>监管银行</w:t>
      </w:r>
      <w:r>
        <w:rPr>
          <w:rFonts w:hint="eastAsia" w:ascii="仿宋" w:hAnsi="仿宋" w:eastAsia="仿宋" w:cs="仿宋"/>
          <w:b w:val="0"/>
          <w:bCs w:val="0"/>
          <w:color w:val="auto"/>
          <w:sz w:val="32"/>
          <w:szCs w:val="32"/>
          <w:highlight w:val="none"/>
          <w:u w:val="none"/>
        </w:rPr>
        <w:t>）配</w:t>
      </w:r>
      <w:r>
        <w:rPr>
          <w:rFonts w:hint="eastAsia" w:ascii="仿宋" w:hAnsi="仿宋" w:eastAsia="仿宋" w:cs="仿宋"/>
          <w:color w:val="auto"/>
          <w:sz w:val="32"/>
          <w:szCs w:val="32"/>
          <w:highlight w:val="none"/>
          <w:u w:val="none"/>
        </w:rPr>
        <w:t>合住建主管部门和被授权委托的事业单位（以下统称住建主管部门）共同做好商品房预售资金监管工作，按照住建主管部门的审批意见及时拨付进度款项，配合预售资金监管检查工作，实时提供监管账户出入账信息等相关资料。</w:t>
      </w:r>
    </w:p>
    <w:p w14:paraId="0392E2BE">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（三）</w:t>
      </w:r>
      <w:r>
        <w:rPr>
          <w:rFonts w:hint="eastAsia" w:ascii="仿宋" w:hAnsi="仿宋" w:eastAsia="仿宋" w:cs="仿宋"/>
          <w:color w:val="auto"/>
          <w:sz w:val="32"/>
          <w:szCs w:val="32"/>
          <w:highlight w:val="none"/>
          <w:u w:val="none"/>
        </w:rPr>
        <w:t>建立预售资金监管银行名单，凡在本市辖区</w:t>
      </w:r>
      <w:r>
        <w:rPr>
          <w:rFonts w:hint="eastAsia" w:ascii="仿宋" w:hAnsi="仿宋" w:eastAsia="仿宋" w:cs="仿宋"/>
          <w:b w:val="0"/>
          <w:bCs w:val="0"/>
          <w:color w:val="auto"/>
          <w:sz w:val="32"/>
          <w:szCs w:val="32"/>
          <w:highlight w:val="none"/>
          <w:u w:val="none"/>
        </w:rPr>
        <w:t>设立银行或分支机构，具备资金监管安全规范运行所需的金融管理业务能力及信息化管理所需的技术标准，没有不良记录，承诺遵守法律法规和监管协议约定，积极配合住建主管部门做好预售资金监管</w:t>
      </w:r>
      <w:r>
        <w:rPr>
          <w:rFonts w:hint="eastAsia" w:ascii="仿宋" w:hAnsi="仿宋" w:eastAsia="仿宋" w:cs="仿宋"/>
          <w:color w:val="auto"/>
          <w:sz w:val="32"/>
          <w:szCs w:val="32"/>
          <w:highlight w:val="none"/>
          <w:u w:val="none"/>
        </w:rPr>
        <w:t>和房屋交易网签备案工作的，可向住建主管部门申请，加入预售资金监管银行名单。</w:t>
      </w:r>
    </w:p>
    <w:p w14:paraId="3ADC856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黑体" w:hAnsi="黑体" w:eastAsia="黑体" w:cs="黑体"/>
          <w:color w:val="auto"/>
          <w:kern w:val="2"/>
          <w:sz w:val="32"/>
          <w:szCs w:val="32"/>
          <w:highlight w:val="none"/>
          <w:u w:val="none"/>
        </w:rPr>
      </w:pPr>
      <w:r>
        <w:rPr>
          <w:rStyle w:val="27"/>
          <w:rFonts w:hint="eastAsia" w:ascii="黑体" w:hAnsi="黑体" w:eastAsia="黑体" w:cs="黑体"/>
          <w:b w:val="0"/>
          <w:bCs w:val="0"/>
          <w:color w:val="auto"/>
          <w:sz w:val="32"/>
          <w:szCs w:val="32"/>
          <w:highlight w:val="none"/>
          <w:u w:val="none"/>
        </w:rPr>
        <w:t>二、监管账户开设</w:t>
      </w:r>
    </w:p>
    <w:p w14:paraId="11FE6CC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spacing w:val="-8"/>
          <w:sz w:val="32"/>
          <w:szCs w:val="32"/>
          <w:highlight w:val="none"/>
          <w:u w:val="none"/>
        </w:rPr>
      </w:pPr>
      <w:r>
        <w:rPr>
          <w:rFonts w:hint="eastAsia" w:ascii="仿宋" w:hAnsi="仿宋" w:eastAsia="仿宋" w:cs="仿宋"/>
          <w:b/>
          <w:bCs/>
          <w:color w:val="auto"/>
          <w:kern w:val="2"/>
          <w:sz w:val="32"/>
          <w:szCs w:val="32"/>
          <w:highlight w:val="none"/>
          <w:u w:val="none"/>
        </w:rPr>
        <w:t>（四）</w:t>
      </w:r>
      <w:r>
        <w:rPr>
          <w:rFonts w:hint="eastAsia" w:ascii="仿宋" w:hAnsi="仿宋" w:eastAsia="仿宋" w:cs="仿宋"/>
          <w:color w:val="auto"/>
          <w:kern w:val="2"/>
          <w:sz w:val="32"/>
          <w:szCs w:val="32"/>
          <w:highlight w:val="none"/>
          <w:u w:val="none"/>
        </w:rPr>
        <w:t>以独立商品房项目为单位申请设立预售资金监管账户。开发企业应在取得建筑工程施工许可后</w:t>
      </w:r>
      <w:r>
        <w:rPr>
          <w:rFonts w:hint="eastAsia" w:ascii="仿宋" w:hAnsi="仿宋" w:eastAsia="仿宋" w:cs="仿宋"/>
          <w:b w:val="0"/>
          <w:bCs w:val="0"/>
          <w:color w:val="auto"/>
          <w:kern w:val="2"/>
          <w:sz w:val="32"/>
          <w:szCs w:val="32"/>
          <w:highlight w:val="none"/>
          <w:u w:val="none"/>
        </w:rPr>
        <w:t>、申请商品房预售许可前，按照一本预售许可证对应一个账户的原则在监管银行名单中选取银行</w:t>
      </w:r>
      <w:r>
        <w:rPr>
          <w:rFonts w:hint="eastAsia" w:ascii="仿宋" w:hAnsi="仿宋" w:eastAsia="仿宋" w:cs="仿宋"/>
          <w:b w:val="0"/>
          <w:bCs w:val="0"/>
          <w:color w:val="auto"/>
          <w:spacing w:val="-8"/>
          <w:kern w:val="2"/>
          <w:sz w:val="32"/>
          <w:szCs w:val="32"/>
          <w:highlight w:val="none"/>
          <w:u w:val="none"/>
        </w:rPr>
        <w:t>开设商品房预售资金监管专用账户（以下简称监管账户），</w:t>
      </w:r>
      <w:r>
        <w:rPr>
          <w:rFonts w:hint="eastAsia" w:ascii="仿宋" w:hAnsi="仿宋" w:eastAsia="仿宋" w:cs="仿宋"/>
          <w:b w:val="0"/>
          <w:bCs w:val="0"/>
          <w:color w:val="auto"/>
          <w:sz w:val="32"/>
          <w:szCs w:val="32"/>
          <w:highlight w:val="none"/>
          <w:u w:val="none"/>
        </w:rPr>
        <w:t>监管账户名应当体现“商品房预售资金监管专户”字样。</w:t>
      </w:r>
    </w:p>
    <w:p w14:paraId="0F3B5E7D">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570"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val="0"/>
          <w:bCs w:val="0"/>
          <w:color w:val="auto"/>
          <w:spacing w:val="-8"/>
          <w:sz w:val="32"/>
          <w:szCs w:val="32"/>
          <w:highlight w:val="none"/>
          <w:u w:val="none"/>
        </w:rPr>
        <w:t>监管账户应在《商品房预售许可证》</w:t>
      </w:r>
      <w:r>
        <w:rPr>
          <w:rStyle w:val="20"/>
          <w:rFonts w:hint="eastAsia" w:ascii="仿宋" w:hAnsi="仿宋" w:eastAsia="仿宋" w:cs="仿宋"/>
          <w:b w:val="0"/>
          <w:bCs w:val="0"/>
          <w:color w:val="auto"/>
          <w:kern w:val="2"/>
          <w:sz w:val="32"/>
          <w:szCs w:val="32"/>
          <w:highlight w:val="none"/>
          <w:u w:val="none"/>
        </w:rPr>
        <w:t>《商品房买卖合同》上载明，该账户</w:t>
      </w:r>
      <w:r>
        <w:rPr>
          <w:rFonts w:hint="eastAsia" w:ascii="仿宋" w:hAnsi="仿宋" w:eastAsia="仿宋" w:cs="仿宋"/>
          <w:b w:val="0"/>
          <w:bCs w:val="0"/>
          <w:color w:val="auto"/>
          <w:kern w:val="2"/>
          <w:sz w:val="32"/>
          <w:szCs w:val="32"/>
          <w:highlight w:val="none"/>
          <w:u w:val="none"/>
        </w:rPr>
        <w:t>不得开通任何形式的自动扣款业务，不得作为其他贷款的还款账户或还款担保账户。</w:t>
      </w:r>
    </w:p>
    <w:p w14:paraId="572C82A2">
      <w:pPr>
        <w:pStyle w:val="14"/>
        <w:keepNext w:val="0"/>
        <w:keepLines w:val="0"/>
        <w:pageBreakBefore w:val="0"/>
        <w:kinsoku/>
        <w:wordWrap/>
        <w:overflowPunct/>
        <w:topLinePunct w:val="0"/>
        <w:autoSpaceDE w:val="0"/>
        <w:autoSpaceDN/>
        <w:bidi w:val="0"/>
        <w:spacing w:after="0" w:line="240" w:lineRule="auto"/>
        <w:ind w:left="0" w:leftChars="0" w:firstLine="602"/>
        <w:textAlignment w:val="auto"/>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（五）</w:t>
      </w:r>
      <w:r>
        <w:rPr>
          <w:rFonts w:hint="eastAsia" w:ascii="仿宋" w:hAnsi="仿宋" w:eastAsia="仿宋" w:cs="仿宋"/>
          <w:b w:val="0"/>
          <w:bCs w:val="0"/>
          <w:color w:val="auto"/>
          <w:sz w:val="32"/>
          <w:szCs w:val="32"/>
          <w:highlight w:val="none"/>
          <w:u w:val="none"/>
        </w:rPr>
        <w:t>开发企业、监管银行和住建主管部门三方应当签订监管协议，明确预售资金监管额度、相应建设形象进度节点监管资金控制要求、拨付流程、监管责任及违约责任等。监管协议作为商品房预售方案的附件。</w:t>
      </w:r>
    </w:p>
    <w:p w14:paraId="28E5544C">
      <w:pPr>
        <w:keepNext w:val="0"/>
        <w:keepLines w:val="0"/>
        <w:pageBreakBefore w:val="0"/>
        <w:kinsoku/>
        <w:wordWrap/>
        <w:overflowPunct/>
        <w:topLinePunct w:val="0"/>
        <w:autoSpaceDE w:val="0"/>
        <w:autoSpaceDN/>
        <w:bidi w:val="0"/>
        <w:spacing w:beforeAutospacing="0" w:afterAutospacing="0" w:line="240" w:lineRule="auto"/>
        <w:ind w:right="0" w:rightChars="0" w:firstLine="602"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bCs/>
          <w:color w:val="auto"/>
          <w:sz w:val="32"/>
          <w:szCs w:val="32"/>
          <w:highlight w:val="none"/>
          <w:u w:val="none"/>
        </w:rPr>
        <w:t>（六）</w:t>
      </w:r>
      <w:r>
        <w:rPr>
          <w:rFonts w:hint="eastAsia" w:ascii="仿宋" w:hAnsi="仿宋" w:eastAsia="仿宋" w:cs="仿宋"/>
          <w:b w:val="0"/>
          <w:bCs w:val="0"/>
          <w:color w:val="auto"/>
          <w:kern w:val="0"/>
          <w:sz w:val="32"/>
          <w:szCs w:val="32"/>
          <w:highlight w:val="none"/>
          <w:u w:val="none"/>
        </w:rPr>
        <w:t>预售项目</w:t>
      </w:r>
      <w:r>
        <w:rPr>
          <w:rFonts w:hint="eastAsia" w:ascii="仿宋" w:hAnsi="仿宋" w:eastAsia="仿宋" w:cs="仿宋"/>
          <w:b w:val="0"/>
          <w:bCs w:val="0"/>
          <w:color w:val="auto"/>
          <w:sz w:val="32"/>
          <w:szCs w:val="32"/>
          <w:highlight w:val="none"/>
          <w:u w:val="none"/>
        </w:rPr>
        <w:t>因开发规模、按揭额度等原因，经住建主管部门同意（</w:t>
      </w:r>
      <w:r>
        <w:rPr>
          <w:rFonts w:hint="eastAsia" w:ascii="仿宋" w:hAnsi="仿宋" w:eastAsia="仿宋" w:cs="仿宋"/>
          <w:b w:val="0"/>
          <w:bCs w:val="0"/>
          <w:color w:val="auto"/>
          <w:kern w:val="0"/>
          <w:sz w:val="32"/>
          <w:szCs w:val="32"/>
          <w:highlight w:val="none"/>
          <w:u w:val="none"/>
        </w:rPr>
        <w:t>有开发贷款的预售项目，还需经发放开发贷款的监管银行同意</w:t>
      </w:r>
      <w:r>
        <w:rPr>
          <w:rFonts w:hint="eastAsia" w:ascii="仿宋" w:hAnsi="仿宋" w:eastAsia="仿宋" w:cs="仿宋"/>
          <w:b w:val="0"/>
          <w:bCs w:val="0"/>
          <w:color w:val="auto"/>
          <w:sz w:val="32"/>
          <w:szCs w:val="32"/>
          <w:highlight w:val="none"/>
          <w:u w:val="none"/>
        </w:rPr>
        <w:t>），可从监管银行名单中选择银行变更监管账户。变更监管账户的，</w:t>
      </w:r>
      <w:r>
        <w:rPr>
          <w:rFonts w:hint="eastAsia" w:ascii="仿宋" w:hAnsi="仿宋" w:eastAsia="仿宋" w:cs="仿宋"/>
          <w:b w:val="0"/>
          <w:bCs w:val="0"/>
          <w:color w:val="auto"/>
          <w:kern w:val="0"/>
          <w:sz w:val="32"/>
          <w:szCs w:val="32"/>
          <w:highlight w:val="none"/>
          <w:u w:val="none"/>
        </w:rPr>
        <w:t>开发企业应持监管协议书向住建主管部门申请办理预售方案变更备案，并按要求公示。</w:t>
      </w:r>
    </w:p>
    <w:p w14:paraId="04BDBF1D">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b/>
          <w:bCs/>
          <w:color w:val="auto"/>
          <w:kern w:val="2"/>
          <w:sz w:val="32"/>
          <w:szCs w:val="32"/>
          <w:highlight w:val="none"/>
          <w:u w:val="none"/>
        </w:rPr>
        <w:t>（七）</w:t>
      </w:r>
      <w:r>
        <w:rPr>
          <w:rFonts w:hint="eastAsia" w:ascii="仿宋" w:hAnsi="仿宋" w:eastAsia="仿宋" w:cs="仿宋"/>
          <w:color w:val="auto"/>
          <w:kern w:val="2"/>
          <w:sz w:val="32"/>
          <w:szCs w:val="32"/>
          <w:highlight w:val="none"/>
          <w:u w:val="none"/>
        </w:rPr>
        <w:t>预售资金监管方案应当包括以下内容：</w:t>
      </w:r>
    </w:p>
    <w:p w14:paraId="5B210C4D">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 项目总造价；</w:t>
      </w:r>
    </w:p>
    <w:p w14:paraId="6C44B341">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 项目重点资金监管额度；</w:t>
      </w:r>
    </w:p>
    <w:p w14:paraId="1B45484F">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 工程形象进度计划表；</w:t>
      </w:r>
    </w:p>
    <w:p w14:paraId="4C7033E6">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4. 工程款支付计划表；</w:t>
      </w:r>
    </w:p>
    <w:p w14:paraId="6B489536">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5. 监管账户名称、账号；</w:t>
      </w:r>
    </w:p>
    <w:p w14:paraId="5E06AD8D">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6. 其他需要说明的情况。</w:t>
      </w:r>
    </w:p>
    <w:p w14:paraId="6AB6E2C5">
      <w:pPr>
        <w:pStyle w:val="29"/>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b w:val="0"/>
          <w:bCs w:val="0"/>
          <w:color w:val="auto"/>
          <w:highlight w:val="none"/>
          <w:u w:val="none"/>
          <w:lang w:eastAsia="zh-CN"/>
        </w:rPr>
      </w:pPr>
      <w:r>
        <w:rPr>
          <w:rFonts w:hint="eastAsia" w:ascii="仿宋" w:hAnsi="仿宋" w:eastAsia="仿宋" w:cs="仿宋"/>
          <w:b/>
          <w:bCs/>
          <w:color w:val="auto"/>
          <w:highlight w:val="none"/>
          <w:u w:val="none"/>
        </w:rPr>
        <w:t>（八）</w:t>
      </w:r>
      <w:r>
        <w:rPr>
          <w:rFonts w:hint="eastAsia" w:ascii="仿宋" w:hAnsi="仿宋" w:eastAsia="仿宋" w:cs="仿宋"/>
          <w:color w:val="auto"/>
          <w:highlight w:val="none"/>
          <w:u w:val="none"/>
        </w:rPr>
        <w:t>住建主管部门</w:t>
      </w:r>
      <w:r>
        <w:rPr>
          <w:rFonts w:hint="eastAsia" w:ascii="仿宋" w:hAnsi="仿宋" w:eastAsia="仿宋" w:cs="仿宋"/>
          <w:b w:val="0"/>
          <w:bCs w:val="0"/>
          <w:color w:val="auto"/>
          <w:highlight w:val="none"/>
          <w:u w:val="none"/>
        </w:rPr>
        <w:t>应通过官方网站等政府信息公开要求公示预售项目的监管银行、监管账户名称及账号。</w:t>
      </w:r>
    </w:p>
    <w:p w14:paraId="1085D6B1">
      <w:pPr>
        <w:pStyle w:val="29"/>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b w:val="0"/>
          <w:bCs w:val="0"/>
          <w:color w:val="auto"/>
          <w:highlight w:val="none"/>
          <w:u w:val="none"/>
        </w:rPr>
      </w:pPr>
      <w:r>
        <w:rPr>
          <w:rFonts w:hint="eastAsia" w:ascii="仿宋" w:hAnsi="仿宋" w:eastAsia="仿宋" w:cs="仿宋"/>
          <w:b w:val="0"/>
          <w:bCs w:val="0"/>
          <w:color w:val="auto"/>
          <w:highlight w:val="none"/>
          <w:u w:val="none"/>
        </w:rPr>
        <w:t>商品房预售时，开发企业或营销代理中介机构应当在销售场所、签约缴款处等醒目位置公示预售资金监管银行、监管账户信息，在商品房认购协议中载明监管账户。</w:t>
      </w:r>
    </w:p>
    <w:p w14:paraId="6123349E">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Style w:val="27"/>
          <w:rFonts w:hint="eastAsia" w:ascii="仿宋" w:hAnsi="仿宋" w:eastAsia="仿宋" w:cs="仿宋"/>
          <w:b w:val="0"/>
          <w:color w:val="auto"/>
          <w:sz w:val="32"/>
          <w:szCs w:val="32"/>
          <w:highlight w:val="none"/>
          <w:u w:val="none"/>
        </w:rPr>
      </w:pPr>
      <w:r>
        <w:rPr>
          <w:rStyle w:val="27"/>
          <w:rFonts w:hint="eastAsia" w:ascii="仿宋" w:hAnsi="仿宋" w:eastAsia="仿宋" w:cs="仿宋"/>
          <w:b w:val="0"/>
          <w:color w:val="auto"/>
          <w:sz w:val="32"/>
          <w:szCs w:val="32"/>
          <w:highlight w:val="none"/>
          <w:u w:val="none"/>
        </w:rPr>
        <w:t>三、预售资金缴存</w:t>
      </w:r>
    </w:p>
    <w:p w14:paraId="76427A55">
      <w:pPr>
        <w:pStyle w:val="12"/>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（九）</w:t>
      </w:r>
      <w:r>
        <w:rPr>
          <w:rFonts w:hint="eastAsia" w:ascii="仿宋" w:hAnsi="仿宋" w:eastAsia="仿宋" w:cs="仿宋"/>
          <w:color w:val="auto"/>
          <w:sz w:val="32"/>
          <w:szCs w:val="32"/>
          <w:highlight w:val="none"/>
          <w:u w:val="none"/>
        </w:rPr>
        <w:t>商品房预售时，开发企业应当提供所开设的监管账户给购房</w:t>
      </w:r>
      <w:r>
        <w:rPr>
          <w:rFonts w:hint="eastAsia" w:ascii="仿宋" w:hAnsi="仿宋" w:eastAsia="仿宋" w:cs="仿宋"/>
          <w:b w:val="0"/>
          <w:bCs w:val="0"/>
          <w:color w:val="auto"/>
          <w:sz w:val="32"/>
          <w:szCs w:val="32"/>
          <w:highlight w:val="none"/>
          <w:u w:val="none"/>
        </w:rPr>
        <w:t>人，协助购房人将全部购房款（包括定金、首付款、分期付款、一次性付款和银行按揭贷款、住房公积金贷款等）和全装修款实名直接</w:t>
      </w:r>
      <w:r>
        <w:rPr>
          <w:rFonts w:hint="eastAsia" w:ascii="仿宋" w:hAnsi="仿宋" w:eastAsia="仿宋" w:cs="仿宋"/>
          <w:b w:val="0"/>
          <w:bCs w:val="0"/>
          <w:color w:val="auto"/>
          <w:kern w:val="2"/>
          <w:sz w:val="32"/>
          <w:szCs w:val="32"/>
          <w:highlight w:val="none"/>
          <w:u w:val="none"/>
        </w:rPr>
        <w:t>存入监管账户</w:t>
      </w:r>
      <w:r>
        <w:rPr>
          <w:rFonts w:hint="eastAsia" w:ascii="仿宋" w:hAnsi="仿宋" w:eastAsia="仿宋" w:cs="仿宋"/>
          <w:b w:val="0"/>
          <w:bCs w:val="0"/>
          <w:color w:val="auto"/>
          <w:sz w:val="32"/>
          <w:szCs w:val="32"/>
          <w:highlight w:val="none"/>
          <w:u w:val="none"/>
        </w:rPr>
        <w:t>，由监管银行通过预售资金监管系统上传实时数据或存入监管账户的凭证，凭证应体现监管账户名称和账号信息。</w:t>
      </w:r>
    </w:p>
    <w:p w14:paraId="3140A071">
      <w:pPr>
        <w:pStyle w:val="12"/>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分期付款方式的首付款不低于政策要求的最低比例，后续款项要合理安排入账时间。</w:t>
      </w:r>
    </w:p>
    <w:p w14:paraId="32EB1DC6">
      <w:pPr>
        <w:pStyle w:val="12"/>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（十）</w:t>
      </w:r>
      <w:r>
        <w:rPr>
          <w:rFonts w:hint="eastAsia" w:ascii="仿宋" w:hAnsi="仿宋" w:eastAsia="仿宋" w:cs="仿宋"/>
          <w:b w:val="0"/>
          <w:bCs w:val="0"/>
          <w:color w:val="auto"/>
          <w:sz w:val="32"/>
          <w:szCs w:val="32"/>
          <w:highlight w:val="none"/>
          <w:u w:val="none"/>
        </w:rPr>
        <w:t>开发企业收缴购房款项采用pos机结算时，需向住建主管部门提供pos机绑定监管账户为结算账户的书面证明。</w:t>
      </w:r>
    </w:p>
    <w:p w14:paraId="5C33383F">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住建主管部门在办理商品房预售合同网签备案时，应当核对预售资金已存入监管账户的凭证，或以其他监管手段确保预售资金存入监管账户。</w:t>
      </w:r>
    </w:p>
    <w:p w14:paraId="2A2C00DB">
      <w:pPr>
        <w:pStyle w:val="12"/>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kern w:val="2"/>
          <w:sz w:val="32"/>
          <w:szCs w:val="32"/>
          <w:highlight w:val="none"/>
          <w:u w:val="none"/>
        </w:rPr>
        <w:t>（十一）</w:t>
      </w:r>
      <w:r>
        <w:rPr>
          <w:rFonts w:hint="eastAsia" w:ascii="仿宋" w:hAnsi="仿宋" w:eastAsia="仿宋" w:cs="仿宋"/>
          <w:color w:val="auto"/>
          <w:sz w:val="32"/>
          <w:szCs w:val="32"/>
          <w:highlight w:val="none"/>
          <w:u w:val="none"/>
        </w:rPr>
        <w:t>房地产项目的开发贷款，包括土地使用权抵押贷款、在建工程抵押贷款等，应当用于所设置抵押的房地产项目的开发建设，并全部进入该项目的监管账户。商品房项目办理预售许可前存在土地使用权抵押的，应先转成在建工程抵押，并将抵押贷款全部转入预售资金监管账户；土地使用权抵押贷款和在建工程抵押贷款已用于监管项目前期开发建设费用的，在保证重点监管资金额度的前提下，可凭发票进行抵扣。</w:t>
      </w:r>
    </w:p>
    <w:p w14:paraId="32BC8C07">
      <w:pPr>
        <w:pStyle w:val="12"/>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sz w:val="32"/>
          <w:szCs w:val="32"/>
          <w:highlight w:val="none"/>
          <w:u w:val="none"/>
        </w:rPr>
        <w:t>住建主管部门在办理房地产项目抵押备案、预售方案审核时应对开发贷款入账情况严格把关。</w:t>
      </w:r>
    </w:p>
    <w:p w14:paraId="1CE9375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bCs/>
          <w:color w:val="auto"/>
          <w:kern w:val="2"/>
          <w:sz w:val="32"/>
          <w:szCs w:val="32"/>
          <w:highlight w:val="none"/>
          <w:u w:val="none"/>
        </w:rPr>
        <w:t>（十二）</w:t>
      </w:r>
      <w:r>
        <w:rPr>
          <w:rFonts w:hint="eastAsia" w:ascii="仿宋" w:hAnsi="仿宋" w:eastAsia="仿宋" w:cs="仿宋"/>
          <w:color w:val="auto"/>
          <w:sz w:val="32"/>
          <w:szCs w:val="32"/>
          <w:highlight w:val="none"/>
          <w:u w:val="none"/>
        </w:rPr>
        <w:t>住建主管部门应加强与不动产登记机构、公积金管理机构、商业银行的沟通、协调，</w:t>
      </w:r>
      <w:r>
        <w:rPr>
          <w:rFonts w:hint="eastAsia" w:ascii="仿宋" w:hAnsi="仿宋" w:eastAsia="仿宋" w:cs="仿宋"/>
          <w:b w:val="0"/>
          <w:bCs w:val="0"/>
          <w:color w:val="auto"/>
          <w:sz w:val="32"/>
          <w:szCs w:val="32"/>
          <w:highlight w:val="none"/>
          <w:u w:val="none"/>
        </w:rPr>
        <w:t>对</w:t>
      </w:r>
      <w:r>
        <w:rPr>
          <w:rFonts w:hint="eastAsia" w:ascii="仿宋" w:hAnsi="仿宋" w:eastAsia="仿宋" w:cs="仿宋"/>
          <w:b w:val="0"/>
          <w:bCs w:val="0"/>
          <w:color w:val="auto"/>
          <w:kern w:val="2"/>
          <w:sz w:val="32"/>
          <w:szCs w:val="32"/>
          <w:highlight w:val="none"/>
          <w:u w:val="none"/>
        </w:rPr>
        <w:t>购房人申请住房贷款的，要将个人住房贷款（包括公积金贷款等）直接划入监管账户，贷款信息应对接传输至预售资金监管系统。</w:t>
      </w:r>
    </w:p>
    <w:p w14:paraId="560F5AAB">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lang w:eastAsia="zh-CN"/>
        </w:rPr>
      </w:pPr>
      <w:r>
        <w:rPr>
          <w:rFonts w:hint="eastAsia" w:ascii="仿宋" w:hAnsi="仿宋" w:eastAsia="仿宋" w:cs="仿宋"/>
          <w:b/>
          <w:bCs/>
          <w:color w:val="auto"/>
          <w:sz w:val="32"/>
          <w:szCs w:val="32"/>
          <w:highlight w:val="none"/>
          <w:u w:val="none"/>
        </w:rPr>
        <w:t>（十三）</w:t>
      </w:r>
      <w:r>
        <w:rPr>
          <w:rFonts w:hint="eastAsia" w:ascii="仿宋" w:hAnsi="仿宋" w:eastAsia="仿宋" w:cs="仿宋"/>
          <w:color w:val="auto"/>
          <w:kern w:val="2"/>
          <w:sz w:val="32"/>
          <w:szCs w:val="32"/>
          <w:highlight w:val="none"/>
          <w:u w:val="none"/>
        </w:rPr>
        <w:t>监管银行应严格履行资金监管协议，</w:t>
      </w:r>
      <w:r>
        <w:rPr>
          <w:rFonts w:hint="eastAsia" w:ascii="仿宋" w:hAnsi="仿宋" w:eastAsia="仿宋" w:cs="仿宋"/>
          <w:color w:val="auto"/>
          <w:sz w:val="32"/>
          <w:szCs w:val="32"/>
          <w:highlight w:val="none"/>
          <w:u w:val="none"/>
        </w:rPr>
        <w:t>指定专人定期核查，</w:t>
      </w:r>
      <w:r>
        <w:rPr>
          <w:rFonts w:hint="eastAsia" w:ascii="仿宋" w:hAnsi="仿宋" w:eastAsia="仿宋" w:cs="仿宋"/>
          <w:color w:val="auto"/>
          <w:kern w:val="2"/>
          <w:sz w:val="32"/>
          <w:szCs w:val="32"/>
          <w:highlight w:val="none"/>
          <w:u w:val="none"/>
        </w:rPr>
        <w:t>发现商品房预售资金、开发贷款等未按时、足额存入监管账户的，应及时告知住建主管部门。</w:t>
      </w:r>
    </w:p>
    <w:p w14:paraId="4D48A9A4">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color w:val="auto"/>
          <w:kern w:val="2"/>
          <w:sz w:val="32"/>
          <w:szCs w:val="32"/>
          <w:highlight w:val="none"/>
          <w:u w:val="none"/>
        </w:rPr>
      </w:pPr>
      <w:r>
        <w:rPr>
          <w:rStyle w:val="27"/>
          <w:rFonts w:hint="eastAsia" w:ascii="仿宋" w:hAnsi="仿宋" w:eastAsia="仿宋" w:cs="仿宋"/>
          <w:b w:val="0"/>
          <w:color w:val="auto"/>
          <w:sz w:val="32"/>
          <w:szCs w:val="32"/>
          <w:highlight w:val="none"/>
          <w:u w:val="none"/>
        </w:rPr>
        <w:t>四、预售资金使用</w:t>
      </w:r>
    </w:p>
    <w:p w14:paraId="6568C75F">
      <w:pPr>
        <w:pStyle w:val="29"/>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kern w:val="0"/>
          <w:highlight w:val="none"/>
          <w:u w:val="none"/>
        </w:rPr>
      </w:pPr>
      <w:r>
        <w:rPr>
          <w:rFonts w:hint="eastAsia" w:ascii="仿宋" w:hAnsi="仿宋" w:eastAsia="仿宋" w:cs="仿宋"/>
          <w:b/>
          <w:bCs/>
          <w:color w:val="auto"/>
          <w:highlight w:val="none"/>
          <w:u w:val="none"/>
        </w:rPr>
        <w:t>（十四）</w:t>
      </w:r>
      <w:r>
        <w:rPr>
          <w:rFonts w:hint="eastAsia" w:ascii="仿宋" w:hAnsi="仿宋" w:eastAsia="仿宋" w:cs="仿宋"/>
          <w:color w:val="auto"/>
          <w:highlight w:val="none"/>
          <w:u w:val="none"/>
        </w:rPr>
        <w:t>对</w:t>
      </w:r>
      <w:r>
        <w:rPr>
          <w:rFonts w:hint="eastAsia" w:ascii="仿宋" w:hAnsi="仿宋" w:eastAsia="仿宋" w:cs="仿宋"/>
          <w:color w:val="auto"/>
          <w:kern w:val="0"/>
          <w:highlight w:val="none"/>
          <w:u w:val="none"/>
        </w:rPr>
        <w:t>存入监管账户的商品房预售款、开发贷款等资金全部进行监管，</w:t>
      </w:r>
      <w:r>
        <w:rPr>
          <w:rFonts w:hint="default" w:ascii="Times New Roman" w:hAnsi="Times New Roman" w:eastAsia="仿宋" w:cs="Times New Roman"/>
          <w:color w:val="000000"/>
          <w:sz w:val="32"/>
          <w:szCs w:val="32"/>
          <w:highlight w:val="none"/>
          <w:shd w:val="clear" w:color="auto" w:fill="FFFFFF"/>
        </w:rPr>
        <w:t>分重点监管资金和</w:t>
      </w:r>
      <w:r>
        <w:rPr>
          <w:rFonts w:hint="eastAsia" w:ascii="Times New Roman" w:hAnsi="Times New Roman" w:eastAsia="仿宋" w:cs="Times New Roman"/>
          <w:color w:val="000000"/>
          <w:sz w:val="32"/>
          <w:szCs w:val="32"/>
          <w:highlight w:val="none"/>
          <w:shd w:val="clear" w:color="auto" w:fill="FFFFFF"/>
          <w:lang w:eastAsia="zh-CN"/>
        </w:rPr>
        <w:t>一般</w:t>
      </w:r>
      <w:r>
        <w:rPr>
          <w:rFonts w:hint="default" w:ascii="Times New Roman" w:hAnsi="Times New Roman" w:eastAsia="仿宋" w:cs="Times New Roman"/>
          <w:color w:val="000000"/>
          <w:sz w:val="32"/>
          <w:szCs w:val="32"/>
          <w:highlight w:val="none"/>
          <w:shd w:val="clear" w:color="auto" w:fill="FFFFFF"/>
        </w:rPr>
        <w:t>监管资金。</w:t>
      </w:r>
      <w:r>
        <w:rPr>
          <w:rFonts w:hint="eastAsia" w:ascii="Times New Roman" w:hAnsi="Times New Roman" w:eastAsia="仿宋" w:cs="Times New Roman"/>
          <w:color w:val="000000"/>
          <w:sz w:val="32"/>
          <w:szCs w:val="32"/>
          <w:highlight w:val="none"/>
          <w:shd w:val="clear" w:color="auto" w:fill="FFFFFF"/>
          <w:lang w:eastAsia="zh-CN"/>
        </w:rPr>
        <w:t>重点监管资金是</w:t>
      </w:r>
      <w:r>
        <w:rPr>
          <w:rFonts w:hint="default" w:ascii="Times New Roman" w:hAnsi="Times New Roman" w:eastAsia="仿宋" w:cs="Times New Roman"/>
          <w:color w:val="000000"/>
          <w:sz w:val="32"/>
          <w:szCs w:val="32"/>
          <w:highlight w:val="none"/>
          <w:shd w:val="clear" w:color="auto" w:fill="FFFFFF"/>
        </w:rPr>
        <w:t>确保预售商品房竣工交付所需</w:t>
      </w:r>
      <w:r>
        <w:rPr>
          <w:rFonts w:hint="default" w:ascii="Times New Roman" w:hAnsi="Times New Roman" w:eastAsia="仿宋" w:cs="Times New Roman"/>
          <w:color w:val="auto"/>
          <w:sz w:val="32"/>
          <w:szCs w:val="32"/>
          <w:highlight w:val="none"/>
          <w:shd w:val="clear" w:color="auto" w:fill="FFFFFF"/>
        </w:rPr>
        <w:t>的建设资金</w:t>
      </w:r>
      <w:r>
        <w:rPr>
          <w:rFonts w:hint="eastAsia" w:ascii="仿宋" w:hAnsi="仿宋" w:eastAsia="仿宋" w:cs="仿宋"/>
          <w:color w:val="auto"/>
          <w:kern w:val="0"/>
          <w:highlight w:val="none"/>
          <w:u w:val="none"/>
          <w:lang w:eastAsia="zh-CN"/>
        </w:rPr>
        <w:t>。</w:t>
      </w:r>
    </w:p>
    <w:p w14:paraId="1F6E6942">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color w:val="auto"/>
          <w:sz w:val="32"/>
          <w:szCs w:val="32"/>
          <w:highlight w:val="none"/>
          <w:u w:val="none"/>
        </w:rPr>
        <w:t>重</w:t>
      </w:r>
      <w:r>
        <w:rPr>
          <w:rFonts w:hint="eastAsia" w:ascii="仿宋" w:hAnsi="仿宋" w:eastAsia="仿宋" w:cs="仿宋"/>
          <w:b w:val="0"/>
          <w:bCs w:val="0"/>
          <w:color w:val="auto"/>
          <w:sz w:val="32"/>
          <w:szCs w:val="32"/>
          <w:highlight w:val="none"/>
          <w:u w:val="none"/>
        </w:rPr>
        <w:t>点监管资金专项用于支付预售项目工程建设费用，</w:t>
      </w:r>
      <w:r>
        <w:rPr>
          <w:rFonts w:hint="eastAsia" w:ascii="仿宋" w:hAnsi="仿宋" w:eastAsia="仿宋" w:cs="仿宋"/>
          <w:b w:val="0"/>
          <w:bCs w:val="0"/>
          <w:color w:val="auto"/>
          <w:kern w:val="2"/>
          <w:sz w:val="32"/>
          <w:szCs w:val="32"/>
          <w:highlight w:val="none"/>
          <w:u w:val="none"/>
        </w:rPr>
        <w:t>重点</w:t>
      </w:r>
      <w:r>
        <w:rPr>
          <w:rFonts w:hint="eastAsia" w:ascii="仿宋" w:hAnsi="仿宋" w:eastAsia="仿宋" w:cs="仿宋"/>
          <w:b w:val="0"/>
          <w:bCs w:val="0"/>
          <w:color w:val="auto"/>
          <w:sz w:val="32"/>
          <w:szCs w:val="32"/>
          <w:highlight w:val="none"/>
          <w:u w:val="none"/>
        </w:rPr>
        <w:t>监管资金额度原则上</w:t>
      </w:r>
      <w:r>
        <w:rPr>
          <w:rFonts w:hint="eastAsia" w:ascii="仿宋" w:hAnsi="仿宋" w:eastAsia="仿宋" w:cs="仿宋"/>
          <w:b w:val="0"/>
          <w:bCs w:val="0"/>
          <w:color w:val="auto"/>
          <w:kern w:val="2"/>
          <w:sz w:val="32"/>
          <w:szCs w:val="32"/>
          <w:highlight w:val="none"/>
          <w:u w:val="none"/>
        </w:rPr>
        <w:t>按照项目总造价的1.2倍核定。项目总造价包括项目所需的建筑施工、设备安装、材料购置、配套建设</w:t>
      </w:r>
      <w:r>
        <w:rPr>
          <w:rFonts w:hint="eastAsia" w:ascii="仿宋" w:hAnsi="仿宋" w:eastAsia="仿宋" w:cs="仿宋"/>
          <w:b w:val="0"/>
          <w:bCs w:val="0"/>
          <w:color w:val="auto"/>
          <w:kern w:val="2"/>
          <w:sz w:val="32"/>
          <w:szCs w:val="32"/>
          <w:highlight w:val="none"/>
          <w:u w:val="none"/>
          <w:lang w:eastAsia="zh-CN"/>
        </w:rPr>
        <w:t>（含小区规划建设的配套设施及室外配套工程）</w:t>
      </w:r>
      <w:r>
        <w:rPr>
          <w:rFonts w:hint="eastAsia" w:ascii="仿宋" w:hAnsi="仿宋" w:eastAsia="仿宋" w:cs="仿宋"/>
          <w:b w:val="0"/>
          <w:bCs w:val="0"/>
          <w:color w:val="auto"/>
          <w:kern w:val="2"/>
          <w:sz w:val="32"/>
          <w:szCs w:val="32"/>
          <w:highlight w:val="none"/>
          <w:u w:val="none"/>
        </w:rPr>
        <w:t>等相关建设费用总额；</w:t>
      </w:r>
      <w:r>
        <w:rPr>
          <w:rFonts w:hint="eastAsia" w:ascii="仿宋" w:hAnsi="仿宋" w:eastAsia="仿宋" w:cs="仿宋"/>
          <w:b w:val="0"/>
          <w:bCs w:val="0"/>
          <w:color w:val="auto"/>
          <w:sz w:val="32"/>
          <w:szCs w:val="32"/>
          <w:highlight w:val="none"/>
          <w:u w:val="none"/>
        </w:rPr>
        <w:t>其中，住宅项目应包括达到同步交付使用条件所需的建设费用；全装修项目</w:t>
      </w:r>
      <w:r>
        <w:rPr>
          <w:rFonts w:hint="eastAsia" w:ascii="仿宋" w:hAnsi="仿宋" w:eastAsia="仿宋" w:cs="仿宋"/>
          <w:b w:val="0"/>
          <w:bCs w:val="0"/>
          <w:color w:val="auto"/>
          <w:sz w:val="32"/>
          <w:szCs w:val="32"/>
          <w:highlight w:val="none"/>
          <w:u w:val="none"/>
          <w:lang w:eastAsia="zh-CN"/>
        </w:rPr>
        <w:t>的</w:t>
      </w:r>
      <w:r>
        <w:rPr>
          <w:rFonts w:hint="eastAsia" w:ascii="仿宋" w:hAnsi="仿宋" w:eastAsia="仿宋" w:cs="仿宋"/>
          <w:b w:val="0"/>
          <w:bCs w:val="0"/>
          <w:color w:val="auto"/>
          <w:sz w:val="32"/>
          <w:szCs w:val="32"/>
          <w:highlight w:val="none"/>
          <w:u w:val="none"/>
        </w:rPr>
        <w:t>装修</w:t>
      </w:r>
      <w:r>
        <w:rPr>
          <w:rFonts w:hint="eastAsia" w:ascii="仿宋" w:hAnsi="仿宋" w:eastAsia="仿宋" w:cs="仿宋"/>
          <w:b w:val="0"/>
          <w:bCs w:val="0"/>
          <w:color w:val="auto"/>
          <w:sz w:val="32"/>
          <w:szCs w:val="32"/>
          <w:highlight w:val="none"/>
          <w:u w:val="none"/>
          <w:lang w:eastAsia="zh-CN"/>
        </w:rPr>
        <w:t>监管资金按照</w:t>
      </w:r>
      <w:r>
        <w:rPr>
          <w:rFonts w:hint="eastAsia" w:ascii="仿宋" w:hAnsi="仿宋" w:eastAsia="仿宋" w:cs="仿宋"/>
          <w:b w:val="0"/>
          <w:bCs w:val="0"/>
          <w:color w:val="auto"/>
          <w:kern w:val="2"/>
          <w:sz w:val="32"/>
          <w:szCs w:val="32"/>
          <w:highlight w:val="none"/>
          <w:u w:val="none"/>
        </w:rPr>
        <w:t>房屋套内建筑面积乘以装修单价标准进行测算。</w:t>
      </w:r>
    </w:p>
    <w:p w14:paraId="32ECF6EE">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重点监管资金额度可根据开发企业信用等级</w:t>
      </w:r>
      <w:r>
        <w:rPr>
          <w:rFonts w:hint="eastAsia" w:ascii="仿宋" w:hAnsi="仿宋" w:eastAsia="仿宋" w:cs="仿宋"/>
          <w:b w:val="0"/>
          <w:bCs w:val="0"/>
          <w:color w:val="auto"/>
          <w:kern w:val="2"/>
          <w:sz w:val="32"/>
          <w:szCs w:val="32"/>
          <w:highlight w:val="none"/>
          <w:u w:val="none"/>
        </w:rPr>
        <w:t>按照项目总造价的1.0</w:t>
      </w:r>
      <w:r>
        <w:rPr>
          <w:rFonts w:hint="eastAsia" w:ascii="仿宋" w:hAnsi="仿宋" w:eastAsia="仿宋" w:cs="仿宋"/>
          <w:b w:val="0"/>
          <w:bCs w:val="0"/>
          <w:color w:val="auto"/>
          <w:sz w:val="32"/>
          <w:szCs w:val="32"/>
          <w:highlight w:val="none"/>
          <w:u w:val="none"/>
        </w:rPr>
        <w:t>～</w:t>
      </w:r>
      <w:r>
        <w:rPr>
          <w:rFonts w:hint="eastAsia" w:ascii="仿宋" w:hAnsi="仿宋" w:eastAsia="仿宋" w:cs="仿宋"/>
          <w:b w:val="0"/>
          <w:bCs w:val="0"/>
          <w:color w:val="auto"/>
          <w:kern w:val="2"/>
          <w:sz w:val="32"/>
          <w:szCs w:val="32"/>
          <w:highlight w:val="none"/>
          <w:u w:val="none"/>
        </w:rPr>
        <w:t>1.2倍调整，统管区及泉州开发区的房地产项目（毛坯房）按</w:t>
      </w:r>
      <w:r>
        <w:rPr>
          <w:rFonts w:hint="eastAsia" w:ascii="仿宋" w:hAnsi="仿宋" w:eastAsia="仿宋" w:cs="仿宋"/>
          <w:b w:val="0"/>
          <w:bCs w:val="0"/>
          <w:color w:val="auto"/>
          <w:sz w:val="32"/>
          <w:szCs w:val="32"/>
          <w:highlight w:val="none"/>
          <w:u w:val="none"/>
        </w:rPr>
        <w:t>总建筑面积以下标准计算（全装修款标准另计）：12层及以下的项目不少于3500元/平方米；13～30层的项目不少于4000元/平方米；31层及以上的项目不少于5000元/平方米，造价标准可根据市场公开的信息按年度调整。</w:t>
      </w:r>
    </w:p>
    <w:p w14:paraId="2ADDFA20">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shd w:val="clear" w:color="auto" w:fill="FFFFFF"/>
          <w:lang w:eastAsia="zh-CN"/>
        </w:rPr>
        <w:t>其中，</w:t>
      </w:r>
      <w:r>
        <w:rPr>
          <w:rFonts w:hint="eastAsia" w:ascii="仿宋" w:hAnsi="仿宋" w:eastAsia="仿宋" w:cs="仿宋"/>
          <w:b w:val="0"/>
          <w:bCs w:val="0"/>
          <w:color w:val="auto"/>
          <w:sz w:val="32"/>
          <w:szCs w:val="32"/>
          <w:highlight w:val="none"/>
          <w:shd w:val="clear" w:color="auto" w:fill="FFFFFF"/>
        </w:rPr>
        <w:t>对</w:t>
      </w:r>
      <w:r>
        <w:rPr>
          <w:rFonts w:hint="eastAsia" w:ascii="仿宋" w:hAnsi="仿宋" w:eastAsia="仿宋" w:cs="仿宋"/>
          <w:b w:val="0"/>
          <w:bCs w:val="0"/>
          <w:color w:val="auto"/>
          <w:sz w:val="32"/>
          <w:szCs w:val="32"/>
          <w:highlight w:val="none"/>
        </w:rPr>
        <w:t>信用评价等级为AAA级、AA级</w:t>
      </w:r>
      <w:r>
        <w:rPr>
          <w:rFonts w:hint="eastAsia" w:ascii="仿宋" w:hAnsi="仿宋" w:eastAsia="仿宋" w:cs="仿宋"/>
          <w:b w:val="0"/>
          <w:bCs w:val="0"/>
          <w:color w:val="auto"/>
          <w:sz w:val="32"/>
          <w:szCs w:val="32"/>
          <w:highlight w:val="none"/>
          <w:shd w:val="clear" w:color="auto" w:fill="FFFFFF"/>
        </w:rPr>
        <w:t>的企业：</w:t>
      </w:r>
      <w:r>
        <w:rPr>
          <w:rFonts w:hint="eastAsia" w:ascii="仿宋" w:hAnsi="仿宋" w:eastAsia="仿宋" w:cs="仿宋"/>
          <w:b w:val="0"/>
          <w:bCs w:val="0"/>
          <w:color w:val="auto"/>
          <w:sz w:val="32"/>
          <w:szCs w:val="32"/>
          <w:highlight w:val="none"/>
        </w:rPr>
        <w:t>重点监管资金额度</w:t>
      </w:r>
      <w:r>
        <w:rPr>
          <w:rFonts w:hint="eastAsia" w:ascii="仿宋" w:hAnsi="仿宋" w:eastAsia="仿宋" w:cs="仿宋"/>
          <w:b w:val="0"/>
          <w:bCs w:val="0"/>
          <w:color w:val="auto"/>
          <w:sz w:val="32"/>
          <w:szCs w:val="32"/>
          <w:highlight w:val="none"/>
          <w:lang w:eastAsia="zh-CN"/>
        </w:rPr>
        <w:t>为</w:t>
      </w:r>
      <w:r>
        <w:rPr>
          <w:rFonts w:hint="eastAsia" w:ascii="仿宋" w:hAnsi="仿宋" w:eastAsia="仿宋" w:cs="仿宋"/>
          <w:b w:val="0"/>
          <w:bCs w:val="0"/>
          <w:color w:val="auto"/>
          <w:sz w:val="32"/>
          <w:szCs w:val="32"/>
          <w:highlight w:val="none"/>
        </w:rPr>
        <w:t>项目总造价的1.</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非重点监管资金实行报备即办理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kern w:val="2"/>
          <w:sz w:val="32"/>
          <w:szCs w:val="32"/>
          <w:highlight w:val="none"/>
          <w:lang w:val="en-US" w:eastAsia="zh-CN" w:bidi="ar-SA"/>
        </w:rPr>
        <w:t>允许使用银行保函置换预售监管资金；</w:t>
      </w:r>
      <w:r>
        <w:rPr>
          <w:rFonts w:hint="eastAsia" w:ascii="仿宋" w:hAnsi="仿宋" w:eastAsia="仿宋" w:cs="仿宋"/>
          <w:b w:val="0"/>
          <w:bCs w:val="0"/>
          <w:color w:val="auto"/>
          <w:sz w:val="32"/>
          <w:szCs w:val="32"/>
          <w:highlight w:val="none"/>
          <w:shd w:val="clear" w:color="auto" w:fill="FFFFFF"/>
        </w:rPr>
        <w:t>对</w:t>
      </w:r>
      <w:r>
        <w:rPr>
          <w:rFonts w:hint="eastAsia" w:ascii="仿宋" w:hAnsi="仿宋" w:eastAsia="仿宋" w:cs="仿宋"/>
          <w:b w:val="0"/>
          <w:bCs w:val="0"/>
          <w:color w:val="auto"/>
          <w:sz w:val="32"/>
          <w:szCs w:val="32"/>
          <w:highlight w:val="none"/>
        </w:rPr>
        <w:t>信用评价等级为A级</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B</w:t>
      </w:r>
      <w:r>
        <w:rPr>
          <w:rFonts w:hint="eastAsia" w:ascii="仿宋" w:hAnsi="仿宋" w:eastAsia="仿宋" w:cs="仿宋"/>
          <w:b w:val="0"/>
          <w:bCs w:val="0"/>
          <w:color w:val="auto"/>
          <w:sz w:val="32"/>
          <w:szCs w:val="32"/>
          <w:highlight w:val="none"/>
        </w:rPr>
        <w:t>级</w:t>
      </w:r>
      <w:r>
        <w:rPr>
          <w:rFonts w:hint="eastAsia" w:ascii="仿宋" w:hAnsi="仿宋" w:eastAsia="仿宋" w:cs="仿宋"/>
          <w:b w:val="0"/>
          <w:bCs w:val="0"/>
          <w:color w:val="auto"/>
          <w:sz w:val="32"/>
          <w:szCs w:val="32"/>
          <w:highlight w:val="none"/>
          <w:shd w:val="clear" w:color="auto" w:fill="FFFFFF"/>
        </w:rPr>
        <w:t>：</w:t>
      </w:r>
      <w:r>
        <w:rPr>
          <w:rFonts w:hint="eastAsia" w:ascii="仿宋" w:hAnsi="仿宋" w:eastAsia="仿宋" w:cs="仿宋"/>
          <w:b w:val="0"/>
          <w:bCs w:val="0"/>
          <w:color w:val="auto"/>
          <w:sz w:val="32"/>
          <w:szCs w:val="32"/>
          <w:highlight w:val="none"/>
        </w:rPr>
        <w:t>重点监管资金额度</w:t>
      </w:r>
      <w:r>
        <w:rPr>
          <w:rFonts w:hint="eastAsia" w:ascii="仿宋" w:hAnsi="仿宋" w:eastAsia="仿宋" w:cs="仿宋"/>
          <w:b w:val="0"/>
          <w:bCs w:val="0"/>
          <w:color w:val="auto"/>
          <w:sz w:val="32"/>
          <w:szCs w:val="32"/>
          <w:highlight w:val="none"/>
          <w:lang w:eastAsia="zh-CN"/>
        </w:rPr>
        <w:t>为</w:t>
      </w:r>
      <w:r>
        <w:rPr>
          <w:rFonts w:hint="eastAsia" w:ascii="仿宋" w:hAnsi="仿宋" w:eastAsia="仿宋" w:cs="仿宋"/>
          <w:b w:val="0"/>
          <w:bCs w:val="0"/>
          <w:color w:val="auto"/>
          <w:sz w:val="32"/>
          <w:szCs w:val="32"/>
          <w:highlight w:val="none"/>
        </w:rPr>
        <w:t>项目总造价的1.</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kern w:val="2"/>
          <w:sz w:val="32"/>
          <w:szCs w:val="32"/>
          <w:highlight w:val="none"/>
          <w:lang w:val="en-US" w:eastAsia="zh-CN" w:bidi="ar-SA"/>
        </w:rPr>
        <w:t>允许使用银行保函置换预售监管资金；</w:t>
      </w:r>
      <w:r>
        <w:rPr>
          <w:rFonts w:hint="eastAsia" w:ascii="仿宋" w:hAnsi="仿宋" w:eastAsia="仿宋" w:cs="仿宋"/>
          <w:b w:val="0"/>
          <w:bCs w:val="0"/>
          <w:color w:val="auto"/>
          <w:sz w:val="32"/>
          <w:szCs w:val="32"/>
          <w:highlight w:val="none"/>
          <w:shd w:val="clear" w:color="auto" w:fill="FFFFFF"/>
        </w:rPr>
        <w:t>对</w:t>
      </w:r>
      <w:r>
        <w:rPr>
          <w:rFonts w:hint="eastAsia" w:ascii="仿宋" w:hAnsi="仿宋" w:eastAsia="仿宋" w:cs="仿宋"/>
          <w:b w:val="0"/>
          <w:bCs w:val="0"/>
          <w:color w:val="auto"/>
          <w:sz w:val="32"/>
          <w:szCs w:val="32"/>
          <w:highlight w:val="none"/>
        </w:rPr>
        <w:t>信用评价等级为</w:t>
      </w:r>
      <w:r>
        <w:rPr>
          <w:rFonts w:hint="eastAsia" w:ascii="仿宋" w:hAnsi="仿宋" w:eastAsia="仿宋" w:cs="仿宋"/>
          <w:b w:val="0"/>
          <w:bCs w:val="0"/>
          <w:color w:val="auto"/>
          <w:sz w:val="32"/>
          <w:szCs w:val="32"/>
          <w:highlight w:val="none"/>
          <w:shd w:val="clear" w:color="auto" w:fill="FFFFFF"/>
        </w:rPr>
        <w:t>C级的企业：</w:t>
      </w:r>
      <w:r>
        <w:rPr>
          <w:rFonts w:hint="eastAsia" w:ascii="仿宋" w:hAnsi="仿宋" w:eastAsia="仿宋" w:cs="仿宋"/>
          <w:b w:val="0"/>
          <w:bCs w:val="0"/>
          <w:color w:val="auto"/>
          <w:sz w:val="32"/>
          <w:szCs w:val="32"/>
          <w:highlight w:val="none"/>
        </w:rPr>
        <w:t>重点监管资金额度</w:t>
      </w:r>
      <w:r>
        <w:rPr>
          <w:rFonts w:hint="eastAsia" w:ascii="仿宋" w:hAnsi="仿宋" w:eastAsia="仿宋" w:cs="仿宋"/>
          <w:b w:val="0"/>
          <w:bCs w:val="0"/>
          <w:color w:val="auto"/>
          <w:sz w:val="32"/>
          <w:szCs w:val="32"/>
          <w:highlight w:val="none"/>
          <w:lang w:eastAsia="zh-CN"/>
        </w:rPr>
        <w:t>为</w:t>
      </w:r>
      <w:r>
        <w:rPr>
          <w:rFonts w:hint="eastAsia" w:ascii="仿宋" w:hAnsi="仿宋" w:eastAsia="仿宋" w:cs="仿宋"/>
          <w:b w:val="0"/>
          <w:bCs w:val="0"/>
          <w:color w:val="auto"/>
          <w:sz w:val="32"/>
          <w:szCs w:val="32"/>
          <w:highlight w:val="none"/>
        </w:rPr>
        <w:t>项目总造价的</w:t>
      </w: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倍</w:t>
      </w:r>
      <w:r>
        <w:rPr>
          <w:rFonts w:hint="eastAsia" w:ascii="仿宋" w:hAnsi="仿宋" w:eastAsia="仿宋" w:cs="仿宋"/>
          <w:b w:val="0"/>
          <w:bCs w:val="0"/>
          <w:color w:val="auto"/>
          <w:sz w:val="32"/>
          <w:szCs w:val="32"/>
          <w:highlight w:val="none"/>
          <w:lang w:eastAsia="zh-CN"/>
        </w:rPr>
        <w:t>，预售</w:t>
      </w:r>
      <w:r>
        <w:rPr>
          <w:rFonts w:hint="eastAsia" w:ascii="仿宋" w:hAnsi="仿宋" w:eastAsia="仿宋" w:cs="仿宋"/>
          <w:b w:val="0"/>
          <w:bCs w:val="0"/>
          <w:color w:val="auto"/>
          <w:sz w:val="32"/>
          <w:szCs w:val="32"/>
          <w:highlight w:val="none"/>
        </w:rPr>
        <w:t>资金实行</w:t>
      </w:r>
      <w:r>
        <w:rPr>
          <w:rFonts w:hint="eastAsia" w:ascii="仿宋" w:hAnsi="仿宋" w:eastAsia="仿宋" w:cs="仿宋"/>
          <w:b w:val="0"/>
          <w:bCs w:val="0"/>
          <w:color w:val="auto"/>
          <w:sz w:val="32"/>
          <w:szCs w:val="32"/>
          <w:highlight w:val="none"/>
          <w:lang w:eastAsia="zh-CN"/>
        </w:rPr>
        <w:t>全额监管；</w:t>
      </w:r>
      <w:r>
        <w:rPr>
          <w:rFonts w:hint="eastAsia" w:ascii="仿宋" w:hAnsi="仿宋" w:eastAsia="仿宋" w:cs="仿宋"/>
          <w:b w:val="0"/>
          <w:bCs w:val="0"/>
          <w:color w:val="auto"/>
          <w:kern w:val="2"/>
          <w:sz w:val="32"/>
          <w:szCs w:val="32"/>
          <w:highlight w:val="none"/>
          <w:lang w:val="en-US" w:eastAsia="zh-CN" w:bidi="ar-SA"/>
        </w:rPr>
        <w:t>未参与信用评价</w:t>
      </w:r>
      <w:r>
        <w:rPr>
          <w:rFonts w:hint="eastAsia" w:ascii="仿宋" w:hAnsi="仿宋" w:eastAsia="仿宋" w:cs="仿宋"/>
          <w:b w:val="0"/>
          <w:bCs w:val="0"/>
          <w:color w:val="auto"/>
          <w:sz w:val="32"/>
          <w:szCs w:val="32"/>
          <w:highlight w:val="none"/>
          <w:lang w:val="en-US" w:eastAsia="zh-CN"/>
        </w:rPr>
        <w:t>的</w:t>
      </w:r>
      <w:r>
        <w:rPr>
          <w:rFonts w:hint="eastAsia" w:ascii="仿宋" w:hAnsi="仿宋" w:eastAsia="仿宋" w:cs="仿宋"/>
          <w:b w:val="0"/>
          <w:bCs w:val="0"/>
          <w:color w:val="auto"/>
          <w:sz w:val="32"/>
          <w:szCs w:val="32"/>
          <w:highlight w:val="none"/>
          <w:shd w:val="clear" w:color="auto" w:fill="FFFFFF"/>
        </w:rPr>
        <w:t>企业</w:t>
      </w:r>
      <w:r>
        <w:rPr>
          <w:rFonts w:hint="eastAsia" w:ascii="仿宋" w:hAnsi="仿宋" w:eastAsia="仿宋" w:cs="仿宋"/>
          <w:b w:val="0"/>
          <w:bCs w:val="0"/>
          <w:color w:val="auto"/>
          <w:sz w:val="32"/>
          <w:szCs w:val="32"/>
          <w:highlight w:val="none"/>
          <w:shd w:val="clear" w:color="auto" w:fill="FFFFFF"/>
          <w:lang w:eastAsia="zh-CN"/>
        </w:rPr>
        <w:t>：</w:t>
      </w:r>
      <w:r>
        <w:rPr>
          <w:rFonts w:hint="eastAsia" w:ascii="仿宋" w:hAnsi="仿宋" w:eastAsia="仿宋" w:cs="仿宋"/>
          <w:b w:val="0"/>
          <w:bCs w:val="0"/>
          <w:color w:val="auto"/>
          <w:sz w:val="32"/>
          <w:szCs w:val="32"/>
          <w:highlight w:val="none"/>
        </w:rPr>
        <w:t>重点监管资金额度</w:t>
      </w:r>
      <w:r>
        <w:rPr>
          <w:rFonts w:hint="eastAsia" w:ascii="仿宋" w:hAnsi="仿宋" w:eastAsia="仿宋" w:cs="仿宋"/>
          <w:b w:val="0"/>
          <w:bCs w:val="0"/>
          <w:color w:val="auto"/>
          <w:sz w:val="32"/>
          <w:szCs w:val="32"/>
          <w:highlight w:val="none"/>
          <w:lang w:eastAsia="zh-CN"/>
        </w:rPr>
        <w:t>为</w:t>
      </w:r>
      <w:r>
        <w:rPr>
          <w:rFonts w:hint="eastAsia" w:ascii="仿宋" w:hAnsi="仿宋" w:eastAsia="仿宋" w:cs="仿宋"/>
          <w:b w:val="0"/>
          <w:bCs w:val="0"/>
          <w:color w:val="auto"/>
          <w:sz w:val="32"/>
          <w:szCs w:val="32"/>
          <w:highlight w:val="none"/>
        </w:rPr>
        <w:t>项目总造价的</w:t>
      </w: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倍</w:t>
      </w:r>
      <w:r>
        <w:rPr>
          <w:rFonts w:hint="eastAsia" w:ascii="仿宋" w:hAnsi="仿宋" w:eastAsia="仿宋" w:cs="仿宋"/>
          <w:b w:val="0"/>
          <w:bCs w:val="0"/>
          <w:color w:val="auto"/>
          <w:sz w:val="32"/>
          <w:szCs w:val="32"/>
          <w:highlight w:val="none"/>
          <w:lang w:eastAsia="zh-CN"/>
        </w:rPr>
        <w:t>，预售</w:t>
      </w:r>
      <w:r>
        <w:rPr>
          <w:rFonts w:hint="eastAsia" w:ascii="仿宋" w:hAnsi="仿宋" w:eastAsia="仿宋" w:cs="仿宋"/>
          <w:b w:val="0"/>
          <w:bCs w:val="0"/>
          <w:color w:val="auto"/>
          <w:sz w:val="32"/>
          <w:szCs w:val="32"/>
          <w:highlight w:val="none"/>
        </w:rPr>
        <w:t>资金实行</w:t>
      </w:r>
      <w:r>
        <w:rPr>
          <w:rFonts w:hint="eastAsia" w:ascii="仿宋" w:hAnsi="仿宋" w:eastAsia="仿宋" w:cs="仿宋"/>
          <w:b w:val="0"/>
          <w:bCs w:val="0"/>
          <w:color w:val="auto"/>
          <w:sz w:val="32"/>
          <w:szCs w:val="32"/>
          <w:highlight w:val="none"/>
          <w:lang w:eastAsia="zh-CN"/>
        </w:rPr>
        <w:t>全额监管。</w:t>
      </w:r>
    </w:p>
    <w:p w14:paraId="57E7C0E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kern w:val="2"/>
          <w:sz w:val="32"/>
          <w:szCs w:val="32"/>
          <w:highlight w:val="none"/>
          <w:u w:val="none"/>
        </w:rPr>
        <w:t>（十五）</w:t>
      </w:r>
      <w:r>
        <w:rPr>
          <w:rFonts w:hint="eastAsia" w:ascii="仿宋" w:hAnsi="仿宋" w:eastAsia="仿宋" w:cs="仿宋"/>
          <w:color w:val="auto"/>
          <w:sz w:val="32"/>
          <w:szCs w:val="32"/>
          <w:highlight w:val="none"/>
          <w:u w:val="none"/>
        </w:rPr>
        <w:t>重点监管资金以外的为一般监管资金。预售项目留足重点监管资金后，</w:t>
      </w:r>
      <w:r>
        <w:rPr>
          <w:rFonts w:hint="eastAsia" w:ascii="仿宋" w:hAnsi="仿宋" w:eastAsia="仿宋" w:cs="仿宋"/>
          <w:b w:val="0"/>
          <w:bCs w:val="0"/>
          <w:color w:val="auto"/>
          <w:sz w:val="32"/>
          <w:szCs w:val="32"/>
          <w:highlight w:val="none"/>
          <w:u w:val="none"/>
        </w:rPr>
        <w:t>在项目无拖欠工程款和农民工工资的情况下，开发企业可以申请提取一般监管资金拨付至其基本户，优先用于本项目建设、缴纳税费和偿还项目贷款。</w:t>
      </w:r>
    </w:p>
    <w:p w14:paraId="0460EE01">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监管账户设立时，开发企业应同时提交</w:t>
      </w:r>
      <w:r>
        <w:rPr>
          <w:rFonts w:hint="eastAsia" w:ascii="仿宋" w:hAnsi="仿宋" w:eastAsia="仿宋" w:cs="仿宋"/>
          <w:b w:val="0"/>
          <w:bCs w:val="0"/>
          <w:color w:val="auto"/>
          <w:kern w:val="0"/>
          <w:sz w:val="32"/>
          <w:szCs w:val="32"/>
          <w:highlight w:val="none"/>
          <w:u w:val="none"/>
          <w:shd w:val="clear" w:color="auto" w:fill="auto"/>
        </w:rPr>
        <w:t>施工总承包单位的普通账户和农民工工资专用账户，工程款</w:t>
      </w:r>
      <w:r>
        <w:rPr>
          <w:rFonts w:hint="eastAsia" w:ascii="仿宋" w:hAnsi="仿宋" w:eastAsia="仿宋" w:cs="仿宋"/>
          <w:b w:val="0"/>
          <w:bCs w:val="0"/>
          <w:color w:val="auto"/>
          <w:kern w:val="0"/>
          <w:sz w:val="32"/>
          <w:szCs w:val="32"/>
          <w:highlight w:val="none"/>
          <w:u w:val="none"/>
        </w:rPr>
        <w:t>按规定比例要求直接拨付至农民工工资专户，剩余工程款</w:t>
      </w:r>
      <w:r>
        <w:rPr>
          <w:rFonts w:hint="eastAsia" w:ascii="仿宋" w:hAnsi="仿宋" w:eastAsia="仿宋" w:cs="仿宋"/>
          <w:b w:val="0"/>
          <w:bCs w:val="0"/>
          <w:color w:val="auto"/>
          <w:kern w:val="0"/>
          <w:sz w:val="32"/>
          <w:szCs w:val="32"/>
          <w:highlight w:val="none"/>
          <w:u w:val="none"/>
          <w:shd w:val="clear" w:color="auto" w:fill="auto"/>
        </w:rPr>
        <w:t>原则上</w:t>
      </w:r>
      <w:r>
        <w:rPr>
          <w:rFonts w:hint="eastAsia" w:ascii="仿宋" w:hAnsi="仿宋" w:eastAsia="仿宋" w:cs="仿宋"/>
          <w:b w:val="0"/>
          <w:bCs w:val="0"/>
          <w:color w:val="auto"/>
          <w:kern w:val="0"/>
          <w:sz w:val="32"/>
          <w:szCs w:val="32"/>
          <w:highlight w:val="none"/>
          <w:u w:val="none"/>
        </w:rPr>
        <w:t>应直接转入施工单位账户、建材供应商账户等。</w:t>
      </w:r>
    </w:p>
    <w:p w14:paraId="1FC348C1">
      <w:pPr>
        <w:pStyle w:val="14"/>
        <w:keepNext w:val="0"/>
        <w:keepLines w:val="0"/>
        <w:pageBreakBefore w:val="0"/>
        <w:kinsoku/>
        <w:wordWrap/>
        <w:overflowPunct/>
        <w:topLinePunct w:val="0"/>
        <w:autoSpaceDN/>
        <w:bidi w:val="0"/>
        <w:spacing w:after="0" w:line="240" w:lineRule="auto"/>
        <w:ind w:left="0" w:leftChars="0" w:firstLine="602"/>
        <w:textAlignment w:val="auto"/>
        <w:rPr>
          <w:rStyle w:val="20"/>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一般监管资金应预留不低于已收房款15%的额度，优先用于支付法定税费、行政事业性收费，预留额度随已拨付税费金额下调。一般监管资金拨付时应综合考虑，确保集团公司在本市项目的保交楼。</w:t>
      </w:r>
    </w:p>
    <w:p w14:paraId="40B13797">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b/>
          <w:bCs/>
          <w:color w:val="auto"/>
          <w:kern w:val="2"/>
          <w:sz w:val="32"/>
          <w:szCs w:val="32"/>
          <w:highlight w:val="none"/>
          <w:u w:val="none"/>
        </w:rPr>
        <w:t>（十六）</w:t>
      </w:r>
      <w:r>
        <w:rPr>
          <w:rFonts w:hint="eastAsia" w:ascii="仿宋" w:hAnsi="仿宋" w:eastAsia="仿宋" w:cs="仿宋"/>
          <w:color w:val="auto"/>
          <w:sz w:val="32"/>
          <w:szCs w:val="32"/>
          <w:highlight w:val="none"/>
          <w:u w:val="none"/>
        </w:rPr>
        <w:t>开发企业</w:t>
      </w:r>
      <w:r>
        <w:rPr>
          <w:rFonts w:hint="eastAsia" w:ascii="仿宋" w:hAnsi="仿宋" w:eastAsia="仿宋" w:cs="仿宋"/>
          <w:color w:val="auto"/>
          <w:kern w:val="2"/>
          <w:sz w:val="32"/>
          <w:szCs w:val="32"/>
          <w:highlight w:val="none"/>
          <w:u w:val="none"/>
        </w:rPr>
        <w:t>应当根据项目建设方案（含单体工程、道路绿化、配套设施等）及施工进度编制预售项目用款计划，用款计划应按照节点申请支取。具体按以下要求办理：</w:t>
      </w:r>
    </w:p>
    <w:p w14:paraId="60882E06">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val="0"/>
          <w:bCs w:val="0"/>
          <w:color w:val="auto"/>
          <w:kern w:val="2"/>
          <w:sz w:val="32"/>
          <w:szCs w:val="32"/>
          <w:highlight w:val="none"/>
          <w:u w:val="none"/>
          <w:lang w:val="en-US" w:eastAsia="zh-CN"/>
        </w:rPr>
        <w:t>1.</w:t>
      </w:r>
      <w:r>
        <w:rPr>
          <w:rFonts w:hint="eastAsia" w:ascii="仿宋" w:hAnsi="仿宋" w:eastAsia="仿宋" w:cs="仿宋"/>
          <w:b w:val="0"/>
          <w:bCs w:val="0"/>
          <w:color w:val="auto"/>
          <w:kern w:val="2"/>
          <w:sz w:val="32"/>
          <w:szCs w:val="32"/>
          <w:highlight w:val="none"/>
          <w:u w:val="none"/>
        </w:rPr>
        <w:t>建筑工程支取节点和比例</w:t>
      </w:r>
    </w:p>
    <w:p w14:paraId="39A472C7">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lang w:eastAsia="zh-CN"/>
        </w:rPr>
      </w:pPr>
      <w:r>
        <w:rPr>
          <w:rFonts w:hint="eastAsia" w:ascii="汉仪书宋二S" w:hAnsi="汉仪书宋二S" w:eastAsia="汉仪书宋二S" w:cs="汉仪书宋二S"/>
          <w:b w:val="0"/>
          <w:bCs w:val="0"/>
          <w:color w:val="auto"/>
          <w:kern w:val="2"/>
          <w:sz w:val="32"/>
          <w:szCs w:val="32"/>
          <w:highlight w:val="none"/>
          <w:u w:val="none"/>
        </w:rPr>
        <w:t>①</w:t>
      </w:r>
      <w:r>
        <w:rPr>
          <w:rFonts w:hint="eastAsia" w:ascii="仿宋" w:hAnsi="仿宋" w:eastAsia="仿宋" w:cs="仿宋"/>
          <w:b w:val="0"/>
          <w:bCs w:val="0"/>
          <w:color w:val="auto"/>
          <w:kern w:val="2"/>
          <w:sz w:val="32"/>
          <w:szCs w:val="32"/>
          <w:highlight w:val="none"/>
          <w:u w:val="none"/>
        </w:rPr>
        <w:t>取得商品房预售许可证后，累计可申请使用监管资金额度内的预售资金不超过监管额度</w:t>
      </w:r>
      <w:r>
        <w:rPr>
          <w:rFonts w:hint="eastAsia" w:ascii="仿宋" w:hAnsi="仿宋" w:eastAsia="仿宋" w:cs="仿宋"/>
          <w:b w:val="0"/>
          <w:bCs w:val="0"/>
          <w:color w:val="auto"/>
          <w:kern w:val="2"/>
          <w:sz w:val="32"/>
          <w:szCs w:val="32"/>
          <w:highlight w:val="none"/>
          <w:u w:val="none"/>
          <w:lang w:eastAsia="zh-CN"/>
        </w:rPr>
        <w:t>（扣除装修监管资金，下同）</w:t>
      </w:r>
      <w:r>
        <w:rPr>
          <w:rFonts w:hint="eastAsia" w:ascii="仿宋" w:hAnsi="仿宋" w:eastAsia="仿宋" w:cs="仿宋"/>
          <w:b w:val="0"/>
          <w:bCs w:val="0"/>
          <w:color w:val="auto"/>
          <w:kern w:val="2"/>
          <w:sz w:val="32"/>
          <w:szCs w:val="32"/>
          <w:highlight w:val="none"/>
          <w:u w:val="none"/>
        </w:rPr>
        <w:t>的25%</w:t>
      </w:r>
      <w:r>
        <w:rPr>
          <w:rFonts w:hint="eastAsia" w:ascii="仿宋" w:hAnsi="仿宋" w:eastAsia="仿宋" w:cs="仿宋"/>
          <w:b w:val="0"/>
          <w:bCs w:val="0"/>
          <w:color w:val="auto"/>
          <w:kern w:val="2"/>
          <w:sz w:val="32"/>
          <w:szCs w:val="32"/>
          <w:highlight w:val="none"/>
          <w:u w:val="none"/>
          <w:lang w:eastAsia="zh-CN"/>
        </w:rPr>
        <w:t>；</w:t>
      </w:r>
    </w:p>
    <w:p w14:paraId="13795543">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汉仪书宋二S" w:hAnsi="汉仪书宋二S" w:eastAsia="汉仪书宋二S" w:cs="汉仪书宋二S"/>
          <w:b w:val="0"/>
          <w:bCs w:val="0"/>
          <w:color w:val="auto"/>
          <w:kern w:val="2"/>
          <w:sz w:val="32"/>
          <w:szCs w:val="32"/>
          <w:highlight w:val="none"/>
          <w:u w:val="none"/>
        </w:rPr>
        <w:t>②</w:t>
      </w:r>
      <w:r>
        <w:rPr>
          <w:rFonts w:hint="eastAsia" w:ascii="仿宋" w:hAnsi="仿宋" w:eastAsia="仿宋" w:cs="仿宋"/>
          <w:b w:val="0"/>
          <w:bCs w:val="0"/>
          <w:color w:val="auto"/>
          <w:kern w:val="2"/>
          <w:sz w:val="32"/>
          <w:szCs w:val="32"/>
          <w:highlight w:val="none"/>
          <w:u w:val="none"/>
        </w:rPr>
        <w:t>工程建设进度达50%（按施工建筑面积计算），累计可申请使用监管资金额度内的预售资金不超过监管额度的</w:t>
      </w:r>
      <w:r>
        <w:rPr>
          <w:rFonts w:hint="eastAsia" w:ascii="仿宋" w:hAnsi="仿宋" w:eastAsia="仿宋" w:cs="仿宋"/>
          <w:b w:val="0"/>
          <w:bCs w:val="0"/>
          <w:color w:val="auto"/>
          <w:kern w:val="2"/>
          <w:sz w:val="32"/>
          <w:szCs w:val="32"/>
          <w:highlight w:val="none"/>
          <w:u w:val="none"/>
          <w:lang w:val="en-US" w:eastAsia="zh-CN"/>
        </w:rPr>
        <w:t>35</w:t>
      </w:r>
      <w:r>
        <w:rPr>
          <w:rFonts w:hint="eastAsia" w:ascii="仿宋" w:hAnsi="仿宋" w:eastAsia="仿宋" w:cs="仿宋"/>
          <w:b w:val="0"/>
          <w:bCs w:val="0"/>
          <w:color w:val="auto"/>
          <w:kern w:val="2"/>
          <w:sz w:val="32"/>
          <w:szCs w:val="32"/>
          <w:highlight w:val="none"/>
          <w:u w:val="none"/>
        </w:rPr>
        <w:t>%</w:t>
      </w:r>
      <w:r>
        <w:rPr>
          <w:rFonts w:hint="eastAsia" w:ascii="仿宋" w:hAnsi="仿宋" w:eastAsia="仿宋" w:cs="仿宋"/>
          <w:b w:val="0"/>
          <w:bCs w:val="0"/>
          <w:color w:val="auto"/>
          <w:kern w:val="2"/>
          <w:sz w:val="32"/>
          <w:szCs w:val="32"/>
          <w:highlight w:val="none"/>
          <w:u w:val="none"/>
          <w:lang w:val="en-US" w:eastAsia="zh-CN"/>
        </w:rPr>
        <w:t>；</w:t>
      </w:r>
    </w:p>
    <w:p w14:paraId="37160FA5">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汉仪书宋二S" w:hAnsi="汉仪书宋二S" w:eastAsia="汉仪书宋二S" w:cs="汉仪书宋二S"/>
          <w:b w:val="0"/>
          <w:bCs w:val="0"/>
          <w:color w:val="auto"/>
          <w:kern w:val="2"/>
          <w:sz w:val="32"/>
          <w:szCs w:val="32"/>
          <w:highlight w:val="none"/>
          <w:u w:val="none"/>
        </w:rPr>
        <w:t>③</w:t>
      </w:r>
      <w:r>
        <w:rPr>
          <w:rFonts w:hint="eastAsia" w:ascii="仿宋" w:hAnsi="仿宋" w:eastAsia="仿宋" w:cs="仿宋"/>
          <w:b w:val="0"/>
          <w:bCs w:val="0"/>
          <w:color w:val="auto"/>
          <w:kern w:val="2"/>
          <w:sz w:val="32"/>
          <w:szCs w:val="32"/>
          <w:highlight w:val="none"/>
          <w:u w:val="none"/>
        </w:rPr>
        <w:t>主体结构封顶后，累计可申请使用监管资金额度内的预售资金不超过监管额度的50%</w:t>
      </w:r>
      <w:r>
        <w:rPr>
          <w:rFonts w:hint="eastAsia" w:ascii="仿宋" w:hAnsi="仿宋" w:eastAsia="仿宋" w:cs="仿宋"/>
          <w:b w:val="0"/>
          <w:bCs w:val="0"/>
          <w:color w:val="auto"/>
          <w:kern w:val="2"/>
          <w:sz w:val="32"/>
          <w:szCs w:val="32"/>
          <w:highlight w:val="none"/>
          <w:u w:val="none"/>
          <w:lang w:val="en-US" w:eastAsia="zh-CN"/>
        </w:rPr>
        <w:t>；</w:t>
      </w:r>
    </w:p>
    <w:p w14:paraId="2CA5ED19">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汉仪书宋二S" w:hAnsi="汉仪书宋二S" w:eastAsia="汉仪书宋二S" w:cs="汉仪书宋二S"/>
          <w:b w:val="0"/>
          <w:bCs w:val="0"/>
          <w:color w:val="auto"/>
          <w:kern w:val="2"/>
          <w:sz w:val="32"/>
          <w:szCs w:val="32"/>
          <w:highlight w:val="none"/>
          <w:u w:val="none"/>
        </w:rPr>
        <w:t>④</w:t>
      </w:r>
      <w:r>
        <w:rPr>
          <w:rFonts w:hint="eastAsia" w:ascii="仿宋" w:hAnsi="仿宋" w:eastAsia="仿宋" w:cs="仿宋"/>
          <w:b w:val="0"/>
          <w:bCs w:val="0"/>
          <w:color w:val="auto"/>
          <w:kern w:val="2"/>
          <w:sz w:val="32"/>
          <w:szCs w:val="32"/>
          <w:highlight w:val="none"/>
          <w:u w:val="none"/>
        </w:rPr>
        <w:t>外墙装修完毕脚手架拆除，累计可申请使用监管资金额度内的预售资金不超过监管额度的70%</w:t>
      </w:r>
      <w:r>
        <w:rPr>
          <w:rFonts w:hint="eastAsia" w:ascii="仿宋" w:hAnsi="仿宋" w:eastAsia="仿宋" w:cs="仿宋"/>
          <w:b w:val="0"/>
          <w:bCs w:val="0"/>
          <w:color w:val="auto"/>
          <w:kern w:val="2"/>
          <w:sz w:val="32"/>
          <w:szCs w:val="32"/>
          <w:highlight w:val="none"/>
          <w:u w:val="none"/>
          <w:lang w:val="en-US" w:eastAsia="zh-CN"/>
        </w:rPr>
        <w:t>；</w:t>
      </w:r>
    </w:p>
    <w:p w14:paraId="3C45128E">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汉仪书宋二S" w:hAnsi="汉仪书宋二S" w:eastAsia="汉仪书宋二S" w:cs="汉仪书宋二S"/>
          <w:b w:val="0"/>
          <w:bCs w:val="0"/>
          <w:color w:val="auto"/>
          <w:kern w:val="2"/>
          <w:sz w:val="32"/>
          <w:szCs w:val="32"/>
          <w:highlight w:val="none"/>
          <w:u w:val="none"/>
        </w:rPr>
        <w:t>⑤</w:t>
      </w:r>
      <w:r>
        <w:rPr>
          <w:rFonts w:hint="eastAsia" w:ascii="仿宋" w:hAnsi="仿宋" w:eastAsia="仿宋" w:cs="仿宋"/>
          <w:b w:val="0"/>
          <w:bCs w:val="0"/>
          <w:color w:val="auto"/>
          <w:kern w:val="2"/>
          <w:sz w:val="32"/>
          <w:szCs w:val="32"/>
          <w:highlight w:val="none"/>
          <w:u w:val="none"/>
        </w:rPr>
        <w:t>单体验收完成，累计可申请使用监管资金额度内的预售资金不超过监管额度的80%</w:t>
      </w:r>
      <w:r>
        <w:rPr>
          <w:rFonts w:hint="eastAsia" w:ascii="仿宋" w:hAnsi="仿宋" w:eastAsia="仿宋" w:cs="仿宋"/>
          <w:b w:val="0"/>
          <w:bCs w:val="0"/>
          <w:color w:val="auto"/>
          <w:kern w:val="2"/>
          <w:sz w:val="32"/>
          <w:szCs w:val="32"/>
          <w:highlight w:val="none"/>
          <w:u w:val="none"/>
          <w:lang w:val="en-US" w:eastAsia="zh-CN"/>
        </w:rPr>
        <w:t>；</w:t>
      </w:r>
    </w:p>
    <w:p w14:paraId="38F79303">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kern w:val="2"/>
          <w:sz w:val="32"/>
          <w:szCs w:val="32"/>
          <w:highlight w:val="none"/>
          <w:u w:val="none"/>
          <w:lang w:val="en-US" w:eastAsia="zh-CN" w:bidi="ar-SA"/>
        </w:rPr>
      </w:pPr>
      <w:r>
        <w:rPr>
          <w:rFonts w:hint="eastAsia" w:ascii="汉仪书宋二S" w:hAnsi="汉仪书宋二S" w:eastAsia="汉仪书宋二S" w:cs="汉仪书宋二S"/>
          <w:color w:val="auto"/>
          <w:sz w:val="32"/>
          <w:szCs w:val="32"/>
          <w:highlight w:val="none"/>
          <w:u w:val="none"/>
        </w:rPr>
        <w:t>⑥</w:t>
      </w:r>
      <w:r>
        <w:rPr>
          <w:rFonts w:hint="eastAsia" w:ascii="仿宋" w:hAnsi="仿宋" w:eastAsia="仿宋" w:cs="仿宋"/>
          <w:color w:val="auto"/>
          <w:sz w:val="32"/>
          <w:szCs w:val="32"/>
          <w:highlight w:val="none"/>
          <w:u w:val="none"/>
        </w:rPr>
        <w:t>取得《工程竣工验收备案表》且无拖欠工程款和农民工工资的，累计可申请使用监管资金额度内的预售资金不超过</w:t>
      </w:r>
      <w:r>
        <w:rPr>
          <w:rFonts w:hint="eastAsia" w:ascii="仿宋" w:hAnsi="仿宋" w:eastAsia="仿宋" w:cs="仿宋"/>
          <w:color w:val="auto"/>
          <w:kern w:val="2"/>
          <w:sz w:val="32"/>
          <w:szCs w:val="32"/>
          <w:highlight w:val="none"/>
          <w:u w:val="none"/>
        </w:rPr>
        <w:t>监管额度</w:t>
      </w:r>
      <w:r>
        <w:rPr>
          <w:rFonts w:hint="eastAsia" w:ascii="仿宋" w:hAnsi="仿宋" w:eastAsia="仿宋" w:cs="仿宋"/>
          <w:color w:val="auto"/>
          <w:sz w:val="32"/>
          <w:szCs w:val="32"/>
          <w:highlight w:val="none"/>
          <w:u w:val="none"/>
        </w:rPr>
        <w:t>的95%</w:t>
      </w:r>
      <w:r>
        <w:rPr>
          <w:rFonts w:hint="eastAsia" w:ascii="仿宋" w:hAnsi="仿宋" w:eastAsia="仿宋" w:cs="仿宋"/>
          <w:color w:val="auto"/>
          <w:kern w:val="2"/>
          <w:sz w:val="32"/>
          <w:szCs w:val="32"/>
          <w:highlight w:val="none"/>
          <w:u w:val="none"/>
          <w:lang w:val="en-US" w:eastAsia="zh-CN" w:bidi="ar-SA"/>
        </w:rPr>
        <w:t>。</w:t>
      </w:r>
    </w:p>
    <w:p w14:paraId="5F16A078">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eastAsia="zh-CN"/>
        </w:rPr>
        <w:t>中心市区统管区及泉州开发区国有建设用地使用权出让合同有规定建筑单体质量要求达到泉州市优质工程的项目，</w:t>
      </w:r>
      <w:r>
        <w:rPr>
          <w:rFonts w:hint="eastAsia" w:ascii="仿宋" w:hAnsi="仿宋" w:eastAsia="仿宋" w:cs="仿宋"/>
          <w:color w:val="auto"/>
          <w:kern w:val="2"/>
          <w:sz w:val="32"/>
          <w:szCs w:val="32"/>
          <w:highlight w:val="none"/>
          <w:u w:val="none"/>
          <w:lang w:val="en-US" w:eastAsia="zh-CN"/>
        </w:rPr>
        <w:t>建设单位和施工总承包单位应在施工合同中约定项目“创优”有关事项，</w:t>
      </w:r>
      <w:r>
        <w:rPr>
          <w:rFonts w:hint="eastAsia" w:ascii="仿宋" w:hAnsi="仿宋" w:eastAsia="仿宋" w:cs="仿宋"/>
          <w:color w:val="auto"/>
          <w:kern w:val="2"/>
          <w:sz w:val="32"/>
          <w:szCs w:val="32"/>
          <w:highlight w:val="none"/>
          <w:u w:val="none"/>
          <w:lang w:eastAsia="zh-CN"/>
        </w:rPr>
        <w:t>按照</w:t>
      </w:r>
      <w:r>
        <w:rPr>
          <w:rFonts w:hint="eastAsia" w:ascii="仿宋" w:hAnsi="仿宋" w:eastAsia="仿宋" w:cs="仿宋"/>
          <w:color w:val="auto"/>
          <w:kern w:val="2"/>
          <w:sz w:val="32"/>
          <w:szCs w:val="32"/>
          <w:highlight w:val="none"/>
          <w:u w:val="none"/>
        </w:rPr>
        <w:t>监</w:t>
      </w:r>
      <w:r>
        <w:rPr>
          <w:rFonts w:hint="eastAsia" w:ascii="仿宋" w:hAnsi="仿宋" w:eastAsia="仿宋" w:cs="仿宋"/>
          <w:b w:val="0"/>
          <w:bCs w:val="0"/>
          <w:color w:val="auto"/>
          <w:kern w:val="2"/>
          <w:sz w:val="32"/>
          <w:szCs w:val="32"/>
          <w:highlight w:val="none"/>
          <w:u w:val="none"/>
        </w:rPr>
        <w:t>管额度</w:t>
      </w:r>
      <w:r>
        <w:rPr>
          <w:rFonts w:hint="eastAsia" w:ascii="仿宋" w:hAnsi="仿宋" w:eastAsia="仿宋" w:cs="仿宋"/>
          <w:b w:val="0"/>
          <w:bCs w:val="0"/>
          <w:color w:val="auto"/>
          <w:sz w:val="32"/>
          <w:szCs w:val="32"/>
          <w:highlight w:val="none"/>
          <w:u w:val="none"/>
        </w:rPr>
        <w:t>的</w:t>
      </w:r>
      <w:r>
        <w:rPr>
          <w:rFonts w:hint="eastAsia" w:ascii="仿宋" w:hAnsi="仿宋" w:eastAsia="仿宋" w:cs="仿宋"/>
          <w:b w:val="0"/>
          <w:bCs w:val="0"/>
          <w:color w:val="auto"/>
          <w:sz w:val="32"/>
          <w:szCs w:val="32"/>
          <w:highlight w:val="none"/>
          <w:u w:val="none"/>
          <w:lang w:val="en-US" w:eastAsia="zh-CN"/>
        </w:rPr>
        <w:t>3%预留</w:t>
      </w:r>
      <w:r>
        <w:rPr>
          <w:rFonts w:hint="eastAsia" w:ascii="仿宋" w:hAnsi="仿宋" w:eastAsia="仿宋" w:cs="仿宋"/>
          <w:b w:val="0"/>
          <w:bCs w:val="0"/>
          <w:color w:val="auto"/>
          <w:kern w:val="2"/>
          <w:sz w:val="32"/>
          <w:szCs w:val="32"/>
          <w:highlight w:val="none"/>
          <w:u w:val="none"/>
          <w:lang w:val="en-US" w:eastAsia="zh-CN"/>
        </w:rPr>
        <w:t>项目“创优”</w:t>
      </w:r>
      <w:r>
        <w:rPr>
          <w:rFonts w:hint="eastAsia" w:ascii="仿宋" w:hAnsi="仿宋" w:eastAsia="仿宋" w:cs="仿宋"/>
          <w:b w:val="0"/>
          <w:bCs w:val="0"/>
          <w:color w:val="auto"/>
          <w:sz w:val="32"/>
          <w:szCs w:val="32"/>
          <w:highlight w:val="none"/>
          <w:u w:val="none"/>
          <w:lang w:val="en-US" w:eastAsia="zh-CN"/>
        </w:rPr>
        <w:t>保证金或奖励金。</w:t>
      </w:r>
    </w:p>
    <w:p w14:paraId="52A5E3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02" w:firstLineChars="200"/>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2.</w:t>
      </w:r>
      <w:r>
        <w:rPr>
          <w:rFonts w:hint="eastAsia" w:ascii="仿宋" w:hAnsi="仿宋" w:eastAsia="仿宋" w:cs="仿宋"/>
          <w:b w:val="0"/>
          <w:bCs w:val="0"/>
          <w:i w:val="0"/>
          <w:caps w:val="0"/>
          <w:color w:val="auto"/>
          <w:spacing w:val="0"/>
          <w:sz w:val="32"/>
          <w:szCs w:val="32"/>
          <w:highlight w:val="none"/>
          <w:shd w:val="clear" w:color="auto" w:fill="FFFFFF"/>
        </w:rPr>
        <w:t>全装修工程支取节点和比例</w:t>
      </w:r>
    </w:p>
    <w:p w14:paraId="0139308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rPr>
        <w:t>　　交付标准为全装修的项目，其全装修款项全部进入预售资金监管的，全装修工程按以下节点和比例申请拨付材料款、工程款等与装修工程有关的费用：</w:t>
      </w:r>
    </w:p>
    <w:p w14:paraId="78156D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12"/>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rPr>
        <w:t>①主体建筑工程取得经区住建局确认的《福建省房屋建筑工程竣工验收报告》后，因购买装修材料需要，根据装修材料采购合同及正式发票等，可申请使用资金额度不超过</w:t>
      </w:r>
      <w:r>
        <w:rPr>
          <w:rFonts w:hint="eastAsia" w:ascii="仿宋" w:hAnsi="仿宋" w:eastAsia="仿宋" w:cs="仿宋"/>
          <w:b w:val="0"/>
          <w:bCs w:val="0"/>
          <w:i w:val="0"/>
          <w:caps w:val="0"/>
          <w:color w:val="auto"/>
          <w:spacing w:val="0"/>
          <w:sz w:val="32"/>
          <w:szCs w:val="32"/>
          <w:highlight w:val="none"/>
          <w:shd w:val="clear" w:color="auto" w:fill="FFFFFF"/>
          <w:lang w:eastAsia="zh-CN"/>
        </w:rPr>
        <w:t>该单位工程重点</w:t>
      </w:r>
      <w:r>
        <w:rPr>
          <w:rFonts w:hint="eastAsia" w:ascii="仿宋" w:hAnsi="仿宋" w:eastAsia="仿宋" w:cs="仿宋"/>
          <w:b w:val="0"/>
          <w:bCs w:val="0"/>
          <w:i w:val="0"/>
          <w:caps w:val="0"/>
          <w:color w:val="auto"/>
          <w:spacing w:val="0"/>
          <w:sz w:val="32"/>
          <w:szCs w:val="32"/>
          <w:highlight w:val="none"/>
          <w:shd w:val="clear" w:color="auto" w:fill="FFFFFF"/>
        </w:rPr>
        <w:t>监管额度</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color w:val="auto"/>
          <w:kern w:val="2"/>
          <w:sz w:val="32"/>
          <w:szCs w:val="32"/>
          <w:highlight w:val="none"/>
          <w:u w:val="none"/>
          <w:lang w:eastAsia="zh-CN"/>
        </w:rPr>
        <w:t>装修监管资金部分，下同</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i w:val="0"/>
          <w:caps w:val="0"/>
          <w:color w:val="auto"/>
          <w:spacing w:val="0"/>
          <w:sz w:val="32"/>
          <w:szCs w:val="32"/>
          <w:highlight w:val="none"/>
          <w:shd w:val="clear" w:color="auto" w:fill="FFFFFF"/>
        </w:rPr>
        <w:t>的20%；</w:t>
      </w:r>
    </w:p>
    <w:p w14:paraId="5E3109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rPr>
        <w:t>　　②装修工程取得施工许可证后，完成装修工程量50%，累计申请使用资金额度不超过</w:t>
      </w:r>
      <w:r>
        <w:rPr>
          <w:rFonts w:hint="eastAsia" w:ascii="仿宋" w:hAnsi="仿宋" w:eastAsia="仿宋" w:cs="仿宋"/>
          <w:b w:val="0"/>
          <w:bCs w:val="0"/>
          <w:i w:val="0"/>
          <w:caps w:val="0"/>
          <w:color w:val="auto"/>
          <w:spacing w:val="0"/>
          <w:sz w:val="32"/>
          <w:szCs w:val="32"/>
          <w:highlight w:val="none"/>
          <w:shd w:val="clear" w:color="auto" w:fill="FFFFFF"/>
          <w:lang w:eastAsia="zh-CN"/>
        </w:rPr>
        <w:t>该单位工程重点</w:t>
      </w:r>
      <w:r>
        <w:rPr>
          <w:rFonts w:hint="eastAsia" w:ascii="仿宋" w:hAnsi="仿宋" w:eastAsia="仿宋" w:cs="仿宋"/>
          <w:b w:val="0"/>
          <w:bCs w:val="0"/>
          <w:i w:val="0"/>
          <w:caps w:val="0"/>
          <w:color w:val="auto"/>
          <w:spacing w:val="0"/>
          <w:sz w:val="32"/>
          <w:szCs w:val="32"/>
          <w:highlight w:val="none"/>
          <w:shd w:val="clear" w:color="auto" w:fill="FFFFFF"/>
        </w:rPr>
        <w:t>监管额度的50%；</w:t>
      </w:r>
    </w:p>
    <w:p w14:paraId="6FAB26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rPr>
        <w:t>　　③装修工程完成竣工验收备案，累计申请使用资金额度不超过</w:t>
      </w:r>
      <w:r>
        <w:rPr>
          <w:rFonts w:hint="eastAsia" w:ascii="仿宋" w:hAnsi="仿宋" w:eastAsia="仿宋" w:cs="仿宋"/>
          <w:b w:val="0"/>
          <w:bCs w:val="0"/>
          <w:i w:val="0"/>
          <w:caps w:val="0"/>
          <w:color w:val="auto"/>
          <w:spacing w:val="0"/>
          <w:sz w:val="32"/>
          <w:szCs w:val="32"/>
          <w:highlight w:val="none"/>
          <w:shd w:val="clear" w:color="auto" w:fill="FFFFFF"/>
          <w:lang w:eastAsia="zh-CN"/>
        </w:rPr>
        <w:t>该单位工程重点</w:t>
      </w:r>
      <w:r>
        <w:rPr>
          <w:rFonts w:hint="eastAsia" w:ascii="仿宋" w:hAnsi="仿宋" w:eastAsia="仿宋" w:cs="仿宋"/>
          <w:b w:val="0"/>
          <w:bCs w:val="0"/>
          <w:i w:val="0"/>
          <w:caps w:val="0"/>
          <w:color w:val="auto"/>
          <w:spacing w:val="0"/>
          <w:sz w:val="32"/>
          <w:szCs w:val="32"/>
          <w:highlight w:val="none"/>
          <w:shd w:val="clear" w:color="auto" w:fill="FFFFFF"/>
        </w:rPr>
        <w:t>监管额度的95%；</w:t>
      </w:r>
    </w:p>
    <w:p w14:paraId="020D98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rPr>
        <w:t>　　④</w:t>
      </w:r>
      <w:r>
        <w:rPr>
          <w:rFonts w:hint="eastAsia" w:ascii="仿宋" w:hAnsi="仿宋" w:eastAsia="仿宋" w:cs="仿宋"/>
          <w:b w:val="0"/>
          <w:bCs w:val="0"/>
          <w:color w:val="auto"/>
          <w:kern w:val="2"/>
          <w:sz w:val="32"/>
          <w:szCs w:val="32"/>
          <w:highlight w:val="none"/>
          <w:u w:val="none"/>
          <w:lang w:eastAsia="zh-CN"/>
        </w:rPr>
        <w:t>装修监管资金</w:t>
      </w:r>
      <w:r>
        <w:rPr>
          <w:rFonts w:hint="eastAsia" w:ascii="仿宋" w:hAnsi="仿宋" w:eastAsia="仿宋" w:cs="仿宋"/>
          <w:b w:val="0"/>
          <w:bCs w:val="0"/>
          <w:i w:val="0"/>
          <w:caps w:val="0"/>
          <w:color w:val="auto"/>
          <w:spacing w:val="0"/>
          <w:sz w:val="32"/>
          <w:szCs w:val="32"/>
          <w:highlight w:val="none"/>
          <w:shd w:val="clear" w:color="auto" w:fill="FFFFFF"/>
        </w:rPr>
        <w:t>剩余5%作为装修工程质量保修保证金，项目交付使用后满3年可申请支取其中3%、满5年可以全部取出，撤销装修款项监管。</w:t>
      </w:r>
    </w:p>
    <w:p w14:paraId="7EE31CF9">
      <w:pPr>
        <w:keepNext w:val="0"/>
        <w:keepLines w:val="0"/>
        <w:pageBreakBefore w:val="0"/>
        <w:kinsoku/>
        <w:wordWrap/>
        <w:overflowPunct/>
        <w:topLinePunct w:val="0"/>
        <w:autoSpaceDN/>
        <w:bidi w:val="0"/>
        <w:spacing w:beforeAutospacing="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lang w:val="en-US" w:eastAsia="zh-CN"/>
        </w:rPr>
        <w:t>3.</w:t>
      </w:r>
      <w:r>
        <w:rPr>
          <w:rFonts w:hint="eastAsia" w:ascii="仿宋" w:hAnsi="仿宋" w:eastAsia="仿宋" w:cs="仿宋"/>
          <w:b w:val="0"/>
          <w:bCs w:val="0"/>
          <w:color w:val="auto"/>
          <w:sz w:val="32"/>
          <w:szCs w:val="32"/>
          <w:highlight w:val="none"/>
          <w:u w:val="none"/>
        </w:rPr>
        <w:t>项目预售资金拨付在规定的节点之间，且不超过规定比例的情况下，根据工程实际完成量及合同约定的拨付比例，可灵活拨付预售资金。对于分期开发的项目，可精准提取单栋楼栋的监管资金。</w:t>
      </w:r>
    </w:p>
    <w:p w14:paraId="3DE5BC3B">
      <w:pPr>
        <w:keepNext w:val="0"/>
        <w:keepLines w:val="0"/>
        <w:pageBreakBefore w:val="0"/>
        <w:kinsoku/>
        <w:wordWrap/>
        <w:overflowPunct/>
        <w:topLinePunct w:val="0"/>
        <w:autoSpaceDN/>
        <w:bidi w:val="0"/>
        <w:spacing w:beforeAutospacing="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lang w:val="en-US" w:eastAsia="zh-CN"/>
        </w:rPr>
        <w:t>4.</w:t>
      </w:r>
      <w:r>
        <w:rPr>
          <w:rFonts w:hint="eastAsia" w:ascii="仿宋" w:hAnsi="仿宋" w:eastAsia="仿宋" w:cs="仿宋"/>
          <w:b w:val="0"/>
          <w:bCs w:val="0"/>
          <w:color w:val="auto"/>
          <w:sz w:val="32"/>
          <w:szCs w:val="32"/>
          <w:highlight w:val="none"/>
          <w:u w:val="none"/>
          <w:lang w:eastAsia="zh-CN"/>
        </w:rPr>
        <w:t>鼓励全装修项目购买全装修质量缺陷保险，保险费用可从监管资金列支。</w:t>
      </w:r>
    </w:p>
    <w:p w14:paraId="26ABE527">
      <w:pPr>
        <w:pStyle w:val="2"/>
        <w:ind w:firstLine="602" w:firstLineChars="200"/>
        <w:rPr>
          <w:rFonts w:hint="eastAsia" w:ascii="仿宋" w:hAnsi="仿宋" w:eastAsia="仿宋" w:cs="仿宋"/>
          <w:color w:val="auto"/>
          <w:sz w:val="32"/>
          <w:szCs w:val="32"/>
          <w:highlight w:val="none"/>
          <w:u w:val="none"/>
        </w:rPr>
      </w:pPr>
      <w:r>
        <w:rPr>
          <w:rFonts w:hint="eastAsia" w:ascii="仿宋" w:hAnsi="仿宋" w:eastAsia="仿宋" w:cs="仿宋"/>
          <w:b w:val="0"/>
          <w:bCs w:val="0"/>
          <w:color w:val="auto"/>
          <w:sz w:val="32"/>
          <w:szCs w:val="32"/>
          <w:highlight w:val="none"/>
          <w:u w:val="none"/>
        </w:rPr>
        <w:t>开发企业申请重点监</w:t>
      </w:r>
      <w:r>
        <w:rPr>
          <w:rFonts w:hint="eastAsia" w:ascii="仿宋" w:hAnsi="仿宋" w:eastAsia="仿宋" w:cs="仿宋"/>
          <w:color w:val="auto"/>
          <w:sz w:val="32"/>
          <w:szCs w:val="32"/>
          <w:highlight w:val="none"/>
          <w:u w:val="none"/>
        </w:rPr>
        <w:t>管资金使用节点时，应当向住建主管部门提供相关资料进行核验，具体程序详见附件。</w:t>
      </w:r>
    </w:p>
    <w:p w14:paraId="4DD2C483">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kern w:val="0"/>
          <w:sz w:val="32"/>
          <w:szCs w:val="32"/>
          <w:highlight w:val="none"/>
          <w:u w:val="none"/>
        </w:rPr>
      </w:pPr>
      <w:r>
        <w:rPr>
          <w:rFonts w:hint="eastAsia" w:ascii="仿宋" w:hAnsi="仿宋" w:eastAsia="仿宋" w:cs="仿宋"/>
          <w:b/>
          <w:bCs/>
          <w:color w:val="auto"/>
          <w:sz w:val="32"/>
          <w:szCs w:val="32"/>
          <w:highlight w:val="none"/>
          <w:u w:val="none"/>
        </w:rPr>
        <w:t>（十七）</w:t>
      </w:r>
      <w:r>
        <w:rPr>
          <w:rFonts w:hint="eastAsia" w:ascii="仿宋" w:hAnsi="仿宋" w:eastAsia="仿宋" w:cs="仿宋"/>
          <w:color w:val="auto"/>
          <w:sz w:val="32"/>
          <w:szCs w:val="32"/>
          <w:highlight w:val="none"/>
          <w:u w:val="none"/>
        </w:rPr>
        <w:t>开发企业依据资金使用节点要求申请拨付监管资金，应当根据资金用途提供相关资料。具体程序详见附件。</w:t>
      </w:r>
    </w:p>
    <w:p w14:paraId="7B8FDC29">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（十八）</w:t>
      </w:r>
      <w:r>
        <w:rPr>
          <w:rFonts w:hint="eastAsia" w:ascii="仿宋" w:hAnsi="仿宋" w:eastAsia="仿宋" w:cs="仿宋"/>
          <w:b w:val="0"/>
          <w:bCs w:val="0"/>
          <w:color w:val="auto"/>
          <w:sz w:val="32"/>
          <w:szCs w:val="32"/>
          <w:highlight w:val="none"/>
          <w:u w:val="none"/>
        </w:rPr>
        <w:t>开发企业与购房人解除购房合同的，经住建主管部门办理完网签合同备案注销手续后，申请退回相应购房款，监管银行按照预售资金退房款流程，将监管资金退回购房人指定的交易资金结算个人账户和贷款银行账户。因退回购房款导致重点监管资金不足的，开发企业应予以补足。</w:t>
      </w:r>
    </w:p>
    <w:p w14:paraId="63A0BA77">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（十九）</w:t>
      </w:r>
      <w:r>
        <w:rPr>
          <w:rFonts w:hint="eastAsia" w:ascii="仿宋" w:hAnsi="仿宋" w:eastAsia="仿宋" w:cs="仿宋"/>
          <w:color w:val="auto"/>
          <w:sz w:val="32"/>
          <w:szCs w:val="32"/>
          <w:highlight w:val="none"/>
          <w:u w:val="none"/>
        </w:rPr>
        <w:t>因资金错误划入监管账户的，开发企业应提交冲正申请表、承办银行出具的证明文件等资料申请办理不明入账冲正业务。由于发放购房贷款或者银行汇款等原因造成资金错误划入监管账户的，还应当提供发放资金银行出具的证明文件。</w:t>
      </w:r>
    </w:p>
    <w:p w14:paraId="7EA0695D">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（二十）</w:t>
      </w:r>
      <w:r>
        <w:rPr>
          <w:rFonts w:hint="eastAsia" w:ascii="仿宋" w:hAnsi="仿宋" w:eastAsia="仿宋" w:cs="仿宋"/>
          <w:color w:val="auto"/>
          <w:sz w:val="32"/>
          <w:szCs w:val="32"/>
          <w:highlight w:val="none"/>
          <w:u w:val="none"/>
        </w:rPr>
        <w:t>开发企业提交资金使用申请后，住建主管部门应在受理之日起3个工作日内提出审核意见。</w:t>
      </w:r>
    </w:p>
    <w:p w14:paraId="76F96CEC">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（二十一）</w:t>
      </w:r>
      <w:r>
        <w:rPr>
          <w:rFonts w:hint="eastAsia" w:ascii="仿宋" w:hAnsi="仿宋" w:eastAsia="仿宋" w:cs="仿宋"/>
          <w:b w:val="0"/>
          <w:bCs w:val="0"/>
          <w:color w:val="auto"/>
          <w:sz w:val="32"/>
          <w:szCs w:val="32"/>
          <w:highlight w:val="none"/>
          <w:u w:val="none"/>
        </w:rPr>
        <w:t>主管部门和监管银行要完善预售资金监管信息系统，与监管银行资金收付系统和商品房网签备案系统对接并联网运行，分套核验已售商品房购房款到账情况。监管银行应监控监管账户是否被查封冻结，在系统中实时记录预售资金监管账户收支、查封冻结等情况。</w:t>
      </w:r>
    </w:p>
    <w:p w14:paraId="362F1AF4">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color w:val="auto"/>
          <w:sz w:val="32"/>
          <w:szCs w:val="32"/>
          <w:highlight w:val="none"/>
          <w:u w:val="none"/>
        </w:rPr>
        <w:t>开发企业应及时核对每笔出入账明细的详细来源与用途，在资金监管系统中予以确认，未完成核对确</w:t>
      </w:r>
      <w:r>
        <w:rPr>
          <w:rFonts w:hint="eastAsia" w:ascii="仿宋" w:hAnsi="仿宋" w:eastAsia="仿宋" w:cs="仿宋"/>
          <w:b w:val="0"/>
          <w:bCs w:val="0"/>
          <w:color w:val="auto"/>
          <w:sz w:val="32"/>
          <w:szCs w:val="32"/>
          <w:highlight w:val="none"/>
          <w:u w:val="none"/>
        </w:rPr>
        <w:t>认的，不得发起新的资金拨付申请。</w:t>
      </w:r>
    </w:p>
    <w:p w14:paraId="35456450">
      <w:pPr>
        <w:keepNext w:val="0"/>
        <w:keepLines w:val="0"/>
        <w:pageBreakBefore w:val="0"/>
        <w:kinsoku/>
        <w:wordWrap/>
        <w:overflowPunct/>
        <w:topLinePunct w:val="0"/>
        <w:autoSpaceDN/>
        <w:bidi w:val="0"/>
        <w:spacing w:beforeAutospacing="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（二十二）</w:t>
      </w:r>
      <w:r>
        <w:rPr>
          <w:rFonts w:hint="eastAsia" w:ascii="仿宋" w:hAnsi="仿宋" w:eastAsia="仿宋" w:cs="仿宋"/>
          <w:b w:val="0"/>
          <w:bCs w:val="0"/>
          <w:color w:val="auto"/>
          <w:sz w:val="32"/>
          <w:szCs w:val="32"/>
          <w:highlight w:val="none"/>
          <w:u w:val="none"/>
        </w:rPr>
        <w:t>监管银行应配合主管部门共同做好商品房预售资金监管工作，按照主管部门的审批意见及时拨付款项（一般不超过1个工作日），</w:t>
      </w:r>
      <w:r>
        <w:rPr>
          <w:rStyle w:val="20"/>
          <w:rFonts w:hint="eastAsia" w:ascii="仿宋" w:hAnsi="仿宋" w:eastAsia="仿宋" w:cs="仿宋"/>
          <w:b w:val="0"/>
          <w:bCs w:val="0"/>
          <w:color w:val="auto"/>
          <w:sz w:val="32"/>
          <w:szCs w:val="32"/>
          <w:highlight w:val="none"/>
          <w:u w:val="none"/>
        </w:rPr>
        <w:t>严禁擅自扣划</w:t>
      </w:r>
      <w:r>
        <w:rPr>
          <w:rFonts w:hint="eastAsia" w:ascii="仿宋" w:hAnsi="仿宋" w:eastAsia="仿宋" w:cs="仿宋"/>
          <w:b w:val="0"/>
          <w:bCs w:val="0"/>
          <w:color w:val="auto"/>
          <w:sz w:val="32"/>
          <w:szCs w:val="32"/>
          <w:highlight w:val="none"/>
          <w:u w:val="none"/>
        </w:rPr>
        <w:t>。</w:t>
      </w:r>
    </w:p>
    <w:p w14:paraId="25E1307D">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（二十三）</w:t>
      </w:r>
      <w:r>
        <w:rPr>
          <w:rFonts w:hint="eastAsia" w:ascii="仿宋" w:hAnsi="仿宋" w:eastAsia="仿宋" w:cs="仿宋"/>
          <w:b w:val="0"/>
          <w:bCs w:val="0"/>
          <w:color w:val="auto"/>
          <w:sz w:val="32"/>
          <w:szCs w:val="32"/>
          <w:highlight w:val="none"/>
          <w:u w:val="none"/>
        </w:rPr>
        <w:t>司法、税务等部门依法对监管账户的预售资金进行冻结和扣划的，监管银行有义务按照监管协议约定，向有关部门提供预售资金监管有关文件</w:t>
      </w:r>
      <w:r>
        <w:rPr>
          <w:rFonts w:hint="eastAsia" w:ascii="仿宋" w:hAnsi="仿宋" w:eastAsia="仿宋" w:cs="仿宋"/>
          <w:color w:val="auto"/>
          <w:sz w:val="32"/>
          <w:szCs w:val="32"/>
          <w:highlight w:val="none"/>
          <w:u w:val="none"/>
        </w:rPr>
        <w:t>规定及监管协议等文件，以说明商品房预售资金及监管账户的性质，并于当日书面告知住建主管部门。住建主管部门应及时致函相关部门，说明预售资金的用途及冻结、扣划的风险。</w:t>
      </w:r>
    </w:p>
    <w:p w14:paraId="6532533F">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（二十四）</w:t>
      </w:r>
      <w:r>
        <w:rPr>
          <w:rFonts w:hint="eastAsia" w:ascii="仿宋" w:hAnsi="仿宋" w:eastAsia="仿宋" w:cs="仿宋"/>
          <w:b w:val="0"/>
          <w:bCs w:val="0"/>
          <w:color w:val="auto"/>
          <w:sz w:val="32"/>
          <w:szCs w:val="32"/>
          <w:highlight w:val="none"/>
          <w:u w:val="none"/>
        </w:rPr>
        <w:t>预售项目出现逾期、难交付等重大风险隐患时，住建主管部门应对监管账户内的资金实施全额封闭管理，待开发企业提交保交楼方案后，按照项目工程建设计划支取使用预售资金。</w:t>
      </w:r>
    </w:p>
    <w:p w14:paraId="656196AE">
      <w:pPr>
        <w:keepNext w:val="0"/>
        <w:keepLines w:val="0"/>
        <w:pageBreakBefore w:val="0"/>
        <w:kinsoku/>
        <w:wordWrap/>
        <w:overflowPunct/>
        <w:topLinePunct w:val="0"/>
        <w:autoSpaceDN/>
        <w:bidi w:val="0"/>
        <w:spacing w:beforeAutospacing="0" w:afterAutospacing="0" w:line="240" w:lineRule="auto"/>
        <w:ind w:right="0" w:rightChars="0" w:firstLine="602" w:firstLineChars="200"/>
        <w:jc w:val="both"/>
        <w:textAlignment w:val="auto"/>
        <w:rPr>
          <w:rFonts w:hint="eastAsia" w:ascii="黑体" w:hAnsi="黑体" w:eastAsia="黑体"/>
          <w:b/>
          <w:color w:val="auto"/>
          <w:sz w:val="32"/>
          <w:szCs w:val="32"/>
          <w:highlight w:val="none"/>
          <w:u w:val="none"/>
        </w:rPr>
      </w:pPr>
      <w:r>
        <w:rPr>
          <w:rFonts w:hint="eastAsia" w:ascii="黑体" w:hAnsi="黑体" w:eastAsia="黑体"/>
          <w:b/>
          <w:color w:val="auto"/>
          <w:sz w:val="32"/>
          <w:szCs w:val="32"/>
          <w:highlight w:val="none"/>
          <w:u w:val="none"/>
        </w:rPr>
        <w:t>五、</w:t>
      </w:r>
      <w:r>
        <w:rPr>
          <w:rFonts w:ascii="黑体" w:hAnsi="黑体" w:eastAsia="黑体"/>
          <w:b/>
          <w:color w:val="auto"/>
          <w:sz w:val="32"/>
          <w:szCs w:val="32"/>
          <w:highlight w:val="none"/>
          <w:u w:val="none"/>
        </w:rPr>
        <w:t>保函置换预售监管资金</w:t>
      </w:r>
    </w:p>
    <w:p w14:paraId="168B5DED">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default" w:ascii="仿宋" w:hAnsi="仿宋" w:eastAsia="仿宋" w:cs="仿宋"/>
          <w:b w:val="0"/>
          <w:bCs/>
          <w:color w:val="auto"/>
          <w:sz w:val="32"/>
          <w:szCs w:val="32"/>
          <w:highlight w:val="none"/>
          <w:u w:val="none"/>
          <w:lang w:val="en-US" w:eastAsia="zh-CN"/>
        </w:rPr>
      </w:pPr>
      <w:r>
        <w:rPr>
          <w:rFonts w:hint="eastAsia" w:ascii="仿宋" w:hAnsi="仿宋" w:eastAsia="仿宋" w:cs="仿宋"/>
          <w:b w:val="0"/>
          <w:bCs/>
          <w:color w:val="auto"/>
          <w:kern w:val="0"/>
          <w:sz w:val="32"/>
          <w:szCs w:val="32"/>
          <w:highlight w:val="none"/>
          <w:u w:val="none"/>
        </w:rPr>
        <w:t>（二十五）</w:t>
      </w:r>
      <w:r>
        <w:rPr>
          <w:rFonts w:hint="eastAsia" w:ascii="仿宋" w:hAnsi="仿宋" w:eastAsia="仿宋" w:cs="仿宋"/>
          <w:b w:val="0"/>
          <w:bCs/>
          <w:color w:val="auto"/>
          <w:sz w:val="32"/>
          <w:szCs w:val="32"/>
          <w:highlight w:val="none"/>
          <w:u w:val="none"/>
        </w:rPr>
        <w:t>对信用良好、服从行业管理、积极解决购房人合理诉求的开发企业，按照《关于规范人民法院保全执行措施确保商品房预售资金用于项目建设的通知》（法〔2021〕12号）规定，开发企业可使用银行出具的保函释放相应额度监管资金。担保银行出具的现金保函为不可撤销的见索即付现金保函，其担保期限不得早于担保标的项目所有楼栋的计划竣工验收备案日期。</w:t>
      </w:r>
      <w:r>
        <w:rPr>
          <w:rFonts w:hint="default" w:ascii="仿宋" w:hAnsi="仿宋" w:eastAsia="仿宋" w:cs="仿宋"/>
          <w:b w:val="0"/>
          <w:bCs/>
          <w:color w:val="auto"/>
          <w:sz w:val="32"/>
          <w:szCs w:val="32"/>
          <w:highlight w:val="none"/>
          <w:u w:val="none"/>
          <w:lang w:val="en-US" w:eastAsia="zh-CN"/>
        </w:rPr>
        <w:t>其中，全装修商品住房需按合同约定完成装修工程后方可终止。</w:t>
      </w:r>
    </w:p>
    <w:p w14:paraId="35AA4CF7">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eastAsia" w:ascii="仿宋" w:hAnsi="仿宋" w:eastAsia="仿宋" w:cs="仿宋"/>
          <w:b w:val="0"/>
          <w:bCs/>
          <w:color w:val="auto"/>
          <w:sz w:val="32"/>
          <w:szCs w:val="32"/>
          <w:highlight w:val="none"/>
          <w:u w:val="none"/>
        </w:rPr>
      </w:pPr>
      <w:r>
        <w:rPr>
          <w:rFonts w:hint="eastAsia" w:ascii="仿宋" w:hAnsi="仿宋" w:eastAsia="仿宋" w:cs="仿宋"/>
          <w:b w:val="0"/>
          <w:bCs/>
          <w:color w:val="auto"/>
          <w:sz w:val="32"/>
          <w:szCs w:val="32"/>
          <w:highlight w:val="none"/>
          <w:u w:val="none"/>
        </w:rPr>
        <w:t>（二十六）监管账户内资金达到住建主管部门规定的监管额度后，开发企业可向商业银行申请出具保函置换监管额度内资金，保函置换金额不得超过监管账户中确保项目竣工交付所需的资金额度的30%，置换后监管资金不得低于监管账户中确保项目竣工交付所需资金额度的70%，保函置换额度可循环使用。</w:t>
      </w:r>
    </w:p>
    <w:p w14:paraId="614BFA5E">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eastAsia" w:ascii="仿宋" w:hAnsi="仿宋" w:eastAsia="仿宋" w:cs="仿宋"/>
          <w:b w:val="0"/>
          <w:bCs/>
          <w:color w:val="auto"/>
          <w:sz w:val="32"/>
          <w:szCs w:val="32"/>
          <w:highlight w:val="none"/>
          <w:u w:val="none"/>
        </w:rPr>
      </w:pPr>
      <w:r>
        <w:rPr>
          <w:rFonts w:hint="eastAsia" w:ascii="仿宋" w:hAnsi="仿宋" w:eastAsia="仿宋" w:cs="仿宋"/>
          <w:b w:val="0"/>
          <w:bCs/>
          <w:color w:val="auto"/>
          <w:sz w:val="32"/>
          <w:szCs w:val="32"/>
          <w:highlight w:val="none"/>
          <w:u w:val="none"/>
        </w:rPr>
        <w:t>（二十七）开发企业要按规定使用保函置换的预售监管资金，优先用于项目工程建设、偿还项目到期债务等，不得用于购置土地、新增其他投资、偿还股东借款等，企业要按约定承担监管账户内的资金补足义务，确保项目建设资金充足。</w:t>
      </w:r>
    </w:p>
    <w:p w14:paraId="433F410B">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b w:val="0"/>
          <w:bCs/>
          <w:color w:val="auto"/>
          <w:sz w:val="32"/>
          <w:szCs w:val="32"/>
          <w:highlight w:val="none"/>
          <w:u w:val="none"/>
        </w:rPr>
      </w:pPr>
      <w:r>
        <w:rPr>
          <w:rFonts w:hint="eastAsia" w:ascii="仿宋" w:hAnsi="仿宋" w:eastAsia="仿宋" w:cs="仿宋"/>
          <w:b w:val="0"/>
          <w:bCs/>
          <w:color w:val="auto"/>
          <w:sz w:val="32"/>
          <w:szCs w:val="32"/>
          <w:highlight w:val="none"/>
          <w:u w:val="none"/>
        </w:rPr>
        <w:t>开发企业申请保函置换</w:t>
      </w:r>
      <w:bookmarkStart w:id="0" w:name="_GoBack"/>
      <w:bookmarkEnd w:id="0"/>
      <w:r>
        <w:rPr>
          <w:rFonts w:hint="eastAsia" w:ascii="仿宋" w:hAnsi="仿宋" w:eastAsia="仿宋" w:cs="仿宋"/>
          <w:b w:val="0"/>
          <w:bCs/>
          <w:color w:val="auto"/>
          <w:sz w:val="32"/>
          <w:szCs w:val="32"/>
          <w:highlight w:val="none"/>
          <w:u w:val="none"/>
        </w:rPr>
        <w:t>预售资金时，应当向住建主管部门提供相关资料进行核验，具体程序详见附件。</w:t>
      </w:r>
    </w:p>
    <w:p w14:paraId="7459DDAF">
      <w:pPr>
        <w:keepNext w:val="0"/>
        <w:keepLines w:val="0"/>
        <w:pageBreakBefore w:val="0"/>
        <w:kinsoku/>
        <w:wordWrap/>
        <w:overflowPunct/>
        <w:topLinePunct w:val="0"/>
        <w:autoSpaceDN/>
        <w:bidi w:val="0"/>
        <w:spacing w:line="240" w:lineRule="auto"/>
        <w:ind w:firstLine="602" w:firstLineChars="200"/>
        <w:jc w:val="left"/>
        <w:textAlignment w:val="auto"/>
        <w:rPr>
          <w:rStyle w:val="27"/>
          <w:rFonts w:hint="eastAsia" w:ascii="黑体" w:hAnsi="黑体" w:eastAsia="黑体"/>
          <w:b w:val="0"/>
          <w:color w:val="auto"/>
          <w:sz w:val="32"/>
          <w:szCs w:val="32"/>
          <w:highlight w:val="none"/>
          <w:u w:val="none"/>
        </w:rPr>
      </w:pPr>
      <w:r>
        <w:rPr>
          <w:rStyle w:val="27"/>
          <w:rFonts w:hint="eastAsia" w:ascii="黑体" w:hAnsi="黑体" w:eastAsia="黑体"/>
          <w:b w:val="0"/>
          <w:color w:val="auto"/>
          <w:sz w:val="32"/>
          <w:szCs w:val="32"/>
          <w:highlight w:val="none"/>
          <w:u w:val="none"/>
        </w:rPr>
        <w:t>六、预售资金监管解除</w:t>
      </w:r>
    </w:p>
    <w:p w14:paraId="42B0E418">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bCs/>
          <w:color w:val="auto"/>
          <w:kern w:val="2"/>
          <w:sz w:val="32"/>
          <w:szCs w:val="32"/>
          <w:highlight w:val="none"/>
          <w:u w:val="none"/>
        </w:rPr>
        <w:t>（二十八）</w:t>
      </w:r>
      <w:r>
        <w:rPr>
          <w:rFonts w:hint="eastAsia" w:ascii="仿宋" w:hAnsi="仿宋" w:eastAsia="仿宋" w:cs="仿宋"/>
          <w:color w:val="auto"/>
          <w:kern w:val="2"/>
          <w:sz w:val="32"/>
          <w:szCs w:val="32"/>
          <w:highlight w:val="none"/>
          <w:u w:val="none"/>
        </w:rPr>
        <w:t>预售项目竣工通过验收备案（预售申报价格包含装修的，装修工程也应通过竣工验收）并办理项目不动产首次登记后，开发企业可向住建主管部</w:t>
      </w:r>
      <w:r>
        <w:rPr>
          <w:rFonts w:hint="eastAsia" w:ascii="仿宋" w:hAnsi="仿宋" w:eastAsia="仿宋" w:cs="仿宋"/>
          <w:b w:val="0"/>
          <w:bCs w:val="0"/>
          <w:color w:val="auto"/>
          <w:kern w:val="2"/>
          <w:sz w:val="32"/>
          <w:szCs w:val="32"/>
          <w:highlight w:val="none"/>
          <w:u w:val="none"/>
        </w:rPr>
        <w:t>门申请解除商品房预售资金监管。合同约定交付标准为全装修商品房的，装修款部分监管至装修装饰工程取得竣工验收备案止（其中5%质保金监管至交付后满5年）。监管账户对应多个预售项目的，应在其对应的所有预售项目均符合条件后才能解除监管。</w:t>
      </w:r>
    </w:p>
    <w:p w14:paraId="7E181794">
      <w:pPr>
        <w:keepNext w:val="0"/>
        <w:keepLines w:val="0"/>
        <w:pageBreakBefore w:val="0"/>
        <w:kinsoku/>
        <w:wordWrap/>
        <w:overflowPunct/>
        <w:topLinePunct w:val="0"/>
        <w:autoSpaceDE w:val="0"/>
        <w:autoSpaceDN/>
        <w:bidi w:val="0"/>
        <w:adjustRightInd w:val="0"/>
        <w:snapToGrid w:val="0"/>
        <w:spacing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开发企业申请解除预售资金监管时，项目首次登记证明日期在1年内的，开发企业应提供施工企业出具的无拖欠工程款证明作为要件；登记日期在1年至3年内的，开发企业应提供项目施工企业出具的无拖欠工程款证明或能证明建设单位与施工单位之间工程款纠纷已起诉，且相应财产已被保全的法律判决文书作为要件；登记日期在3年以上的，不做该项要件的提交要求。</w:t>
      </w:r>
    </w:p>
    <w:p w14:paraId="7F1E4FE9">
      <w:pPr>
        <w:keepNext w:val="0"/>
        <w:keepLines w:val="0"/>
        <w:pageBreakBefore w:val="0"/>
        <w:kinsoku/>
        <w:wordWrap/>
        <w:overflowPunct/>
        <w:topLinePunct w:val="0"/>
        <w:autoSpaceDE w:val="0"/>
        <w:autoSpaceDN/>
        <w:bidi w:val="0"/>
        <w:adjustRightInd w:val="0"/>
        <w:snapToGrid w:val="0"/>
        <w:spacing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（二十九）</w:t>
      </w:r>
      <w:r>
        <w:rPr>
          <w:rFonts w:hint="eastAsia" w:ascii="仿宋" w:hAnsi="仿宋" w:eastAsia="仿宋" w:cs="仿宋"/>
          <w:b w:val="0"/>
          <w:bCs w:val="0"/>
          <w:color w:val="auto"/>
          <w:sz w:val="32"/>
          <w:szCs w:val="32"/>
          <w:highlight w:val="none"/>
          <w:u w:val="none"/>
        </w:rPr>
        <w:t>开发企业应落实项目业主所有的共有部分及其他公益性配套服务用房的移交工作，在申请预售资金监管解除时，提供相关证明文件作为监管解除的要件（包括但不限于人防车位、配套建设的社区管理服务用房、物业服务用房、公共养老助残用房、幼儿园等公共服务设施）。住建主管部门可根据需要，要求开发企业出具《物业承接查验备案证明》，作为预售资金监管账户解除申请的要件。</w:t>
      </w:r>
    </w:p>
    <w:p w14:paraId="1136FC46">
      <w:pPr>
        <w:keepNext w:val="0"/>
        <w:keepLines w:val="0"/>
        <w:pageBreakBefore w:val="0"/>
        <w:kinsoku/>
        <w:wordWrap/>
        <w:overflowPunct/>
        <w:topLinePunct w:val="0"/>
        <w:autoSpaceDE w:val="0"/>
        <w:autoSpaceDN/>
        <w:bidi w:val="0"/>
        <w:adjustRightInd w:val="0"/>
        <w:snapToGrid w:val="0"/>
        <w:spacing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开发企业申请</w:t>
      </w:r>
      <w:r>
        <w:rPr>
          <w:rStyle w:val="27"/>
          <w:rFonts w:hint="eastAsia" w:ascii="仿宋" w:hAnsi="仿宋" w:eastAsia="仿宋" w:cs="仿宋"/>
          <w:b w:val="0"/>
          <w:bCs w:val="0"/>
          <w:color w:val="auto"/>
          <w:sz w:val="32"/>
          <w:szCs w:val="32"/>
          <w:highlight w:val="none"/>
          <w:u w:val="none"/>
        </w:rPr>
        <w:t>预售资金监管解除</w:t>
      </w:r>
      <w:r>
        <w:rPr>
          <w:rFonts w:hint="eastAsia" w:ascii="仿宋" w:hAnsi="仿宋" w:eastAsia="仿宋" w:cs="仿宋"/>
          <w:b w:val="0"/>
          <w:bCs w:val="0"/>
          <w:color w:val="auto"/>
          <w:sz w:val="32"/>
          <w:szCs w:val="32"/>
          <w:highlight w:val="none"/>
          <w:u w:val="none"/>
        </w:rPr>
        <w:t>时，应当向住建主管部门提供相关资料进行核验，具体程序详见附件。</w:t>
      </w:r>
    </w:p>
    <w:p w14:paraId="116C38F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（三十）</w:t>
      </w:r>
      <w:r>
        <w:rPr>
          <w:rFonts w:hint="eastAsia" w:ascii="仿宋" w:hAnsi="仿宋" w:eastAsia="仿宋" w:cs="仿宋"/>
          <w:color w:val="auto"/>
          <w:sz w:val="32"/>
          <w:szCs w:val="32"/>
          <w:highlight w:val="none"/>
          <w:u w:val="none"/>
        </w:rPr>
        <w:t xml:space="preserve">开发企业凭住建主管部门出具的监管意见向监管银行申请办理结算手续，解除商品房预售资金的监管。 </w:t>
      </w:r>
    </w:p>
    <w:p w14:paraId="611C920B">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Style w:val="27"/>
          <w:rFonts w:hint="eastAsia" w:ascii="黑体" w:hAnsi="黑体" w:eastAsia="黑体"/>
          <w:b w:val="0"/>
          <w:color w:val="auto"/>
          <w:sz w:val="32"/>
          <w:szCs w:val="32"/>
          <w:highlight w:val="none"/>
          <w:u w:val="none"/>
        </w:rPr>
      </w:pPr>
      <w:r>
        <w:rPr>
          <w:rStyle w:val="27"/>
          <w:rFonts w:hint="eastAsia" w:ascii="黑体" w:hAnsi="黑体" w:eastAsia="黑体"/>
          <w:b w:val="0"/>
          <w:color w:val="auto"/>
          <w:sz w:val="32"/>
          <w:szCs w:val="32"/>
          <w:highlight w:val="none"/>
          <w:u w:val="none"/>
        </w:rPr>
        <w:t>七、违规情形处理</w:t>
      </w:r>
    </w:p>
    <w:p w14:paraId="1A245CFA">
      <w:pPr>
        <w:keepNext w:val="0"/>
        <w:keepLines w:val="0"/>
        <w:pageBreakBefore w:val="0"/>
        <w:kinsoku/>
        <w:wordWrap/>
        <w:overflowPunct/>
        <w:topLinePunct w:val="0"/>
        <w:autoSpaceDN/>
        <w:bidi w:val="0"/>
        <w:spacing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（三十一）</w:t>
      </w:r>
      <w:r>
        <w:rPr>
          <w:rFonts w:hint="eastAsia" w:ascii="仿宋" w:hAnsi="仿宋" w:eastAsia="仿宋" w:cs="仿宋"/>
          <w:color w:val="auto"/>
          <w:kern w:val="0"/>
          <w:sz w:val="32"/>
          <w:szCs w:val="32"/>
          <w:highlight w:val="none"/>
          <w:u w:val="none"/>
        </w:rPr>
        <w:t>开发企业有下列行为的，由</w:t>
      </w:r>
      <w:r>
        <w:rPr>
          <w:rFonts w:hint="eastAsia" w:ascii="仿宋" w:hAnsi="仿宋" w:eastAsia="仿宋" w:cs="仿宋"/>
          <w:color w:val="auto"/>
          <w:sz w:val="32"/>
          <w:szCs w:val="32"/>
          <w:highlight w:val="none"/>
          <w:u w:val="none"/>
        </w:rPr>
        <w:t>住建主管部门</w:t>
      </w:r>
      <w:r>
        <w:rPr>
          <w:rFonts w:hint="eastAsia" w:ascii="仿宋" w:hAnsi="仿宋" w:eastAsia="仿宋" w:cs="仿宋"/>
          <w:color w:val="auto"/>
          <w:kern w:val="0"/>
          <w:sz w:val="32"/>
          <w:szCs w:val="32"/>
          <w:highlight w:val="none"/>
          <w:u w:val="none"/>
        </w:rPr>
        <w:t>责令限期整改，整改期间对</w:t>
      </w:r>
      <w:r>
        <w:rPr>
          <w:rFonts w:hint="eastAsia" w:ascii="仿宋" w:hAnsi="仿宋" w:eastAsia="仿宋" w:cs="仿宋"/>
          <w:b w:val="0"/>
          <w:bCs w:val="0"/>
          <w:color w:val="auto"/>
          <w:kern w:val="0"/>
          <w:sz w:val="32"/>
          <w:szCs w:val="32"/>
          <w:highlight w:val="none"/>
          <w:u w:val="none"/>
        </w:rPr>
        <w:t>存在违规行为的项目可暂停拨付商品房预售资金</w:t>
      </w:r>
      <w:r>
        <w:rPr>
          <w:rFonts w:hint="eastAsia" w:ascii="仿宋" w:hAnsi="仿宋" w:eastAsia="仿宋" w:cs="仿宋"/>
          <w:b w:val="0"/>
          <w:bCs w:val="0"/>
          <w:color w:val="auto"/>
          <w:sz w:val="32"/>
          <w:szCs w:val="32"/>
          <w:highlight w:val="none"/>
          <w:u w:val="none"/>
        </w:rPr>
        <w:t>和合同网签备案并发布购房风险警示</w:t>
      </w:r>
      <w:r>
        <w:rPr>
          <w:rFonts w:hint="eastAsia" w:ascii="仿宋" w:hAnsi="仿宋" w:eastAsia="仿宋" w:cs="仿宋"/>
          <w:b w:val="0"/>
          <w:bCs w:val="0"/>
          <w:color w:val="auto"/>
          <w:kern w:val="0"/>
          <w:sz w:val="32"/>
          <w:szCs w:val="32"/>
          <w:highlight w:val="none"/>
          <w:u w:val="none"/>
        </w:rPr>
        <w:t>。</w:t>
      </w:r>
      <w:r>
        <w:rPr>
          <w:rFonts w:hint="eastAsia" w:ascii="仿宋" w:hAnsi="仿宋" w:eastAsia="仿宋" w:cs="仿宋"/>
          <w:b w:val="0"/>
          <w:bCs w:val="0"/>
          <w:color w:val="auto"/>
          <w:sz w:val="32"/>
          <w:szCs w:val="32"/>
          <w:highlight w:val="none"/>
          <w:u w:val="none"/>
        </w:rPr>
        <w:t>逾期未改正的，可</w:t>
      </w:r>
      <w:r>
        <w:rPr>
          <w:rFonts w:hint="eastAsia" w:ascii="仿宋" w:hAnsi="仿宋" w:eastAsia="仿宋" w:cs="仿宋"/>
          <w:b w:val="0"/>
          <w:bCs w:val="0"/>
          <w:color w:val="auto"/>
          <w:kern w:val="0"/>
          <w:sz w:val="32"/>
          <w:szCs w:val="32"/>
          <w:highlight w:val="none"/>
          <w:u w:val="none"/>
        </w:rPr>
        <w:t>暂停</w:t>
      </w:r>
      <w:r>
        <w:rPr>
          <w:rFonts w:hint="eastAsia" w:ascii="仿宋" w:hAnsi="仿宋" w:eastAsia="仿宋" w:cs="仿宋"/>
          <w:b w:val="0"/>
          <w:bCs w:val="0"/>
          <w:color w:val="auto"/>
          <w:sz w:val="32"/>
          <w:szCs w:val="32"/>
          <w:highlight w:val="none"/>
          <w:u w:val="none"/>
        </w:rPr>
        <w:t>该企业在辖区范围内所有开发项目的预售许可、现售备案</w:t>
      </w:r>
      <w:r>
        <w:rPr>
          <w:rFonts w:hint="eastAsia" w:ascii="仿宋" w:hAnsi="仿宋" w:eastAsia="仿宋" w:cs="仿宋"/>
          <w:b w:val="0"/>
          <w:bCs w:val="0"/>
          <w:color w:val="auto"/>
          <w:kern w:val="0"/>
          <w:sz w:val="32"/>
          <w:szCs w:val="32"/>
          <w:highlight w:val="none"/>
          <w:u w:val="none"/>
        </w:rPr>
        <w:t>，</w:t>
      </w:r>
      <w:r>
        <w:rPr>
          <w:rFonts w:hint="eastAsia" w:ascii="仿宋" w:hAnsi="仿宋" w:eastAsia="仿宋" w:cs="仿宋"/>
          <w:b w:val="0"/>
          <w:bCs w:val="0"/>
          <w:color w:val="auto"/>
          <w:sz w:val="32"/>
          <w:szCs w:val="32"/>
          <w:highlight w:val="none"/>
          <w:u w:val="none"/>
        </w:rPr>
        <w:t>并记入企业信用档案</w:t>
      </w:r>
      <w:r>
        <w:rPr>
          <w:rFonts w:hint="eastAsia" w:ascii="仿宋" w:hAnsi="仿宋" w:eastAsia="仿宋" w:cs="仿宋"/>
          <w:b w:val="0"/>
          <w:bCs w:val="0"/>
          <w:color w:val="auto"/>
          <w:kern w:val="0"/>
          <w:sz w:val="32"/>
          <w:szCs w:val="32"/>
          <w:highlight w:val="none"/>
          <w:u w:val="none"/>
        </w:rPr>
        <w:t>。</w:t>
      </w:r>
      <w:r>
        <w:rPr>
          <w:rFonts w:hint="eastAsia" w:ascii="仿宋" w:hAnsi="仿宋" w:eastAsia="仿宋" w:cs="仿宋"/>
          <w:b w:val="0"/>
          <w:bCs w:val="0"/>
          <w:color w:val="auto"/>
          <w:sz w:val="32"/>
          <w:szCs w:val="32"/>
          <w:highlight w:val="none"/>
          <w:u w:val="none"/>
        </w:rPr>
        <w:t>造成严重后果的，依法追究法律责任。</w:t>
      </w:r>
    </w:p>
    <w:p w14:paraId="1ECC1480">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kern w:val="0"/>
          <w:sz w:val="32"/>
          <w:szCs w:val="32"/>
          <w:highlight w:val="none"/>
          <w:u w:val="none"/>
        </w:rPr>
        <w:t>1.</w:t>
      </w:r>
      <w:r>
        <w:rPr>
          <w:rFonts w:hint="eastAsia" w:ascii="仿宋" w:hAnsi="仿宋" w:eastAsia="仿宋" w:cs="仿宋"/>
          <w:color w:val="auto"/>
          <w:sz w:val="32"/>
          <w:szCs w:val="32"/>
          <w:highlight w:val="none"/>
          <w:u w:val="none"/>
        </w:rPr>
        <w:t>存在违法违规行为导致工程停工的；</w:t>
      </w:r>
    </w:p>
    <w:p w14:paraId="2E6B13E1">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color w:val="auto"/>
          <w:highlight w:val="none"/>
        </w:rPr>
      </w:pPr>
      <w:r>
        <w:rPr>
          <w:rFonts w:hint="eastAsia" w:ascii="仿宋" w:hAnsi="仿宋" w:eastAsia="仿宋" w:cs="仿宋"/>
          <w:color w:val="auto"/>
          <w:kern w:val="0"/>
          <w:sz w:val="32"/>
          <w:szCs w:val="32"/>
          <w:highlight w:val="none"/>
          <w:u w:val="none"/>
        </w:rPr>
        <w:t>2.</w:t>
      </w:r>
      <w:r>
        <w:rPr>
          <w:rFonts w:hint="eastAsia" w:ascii="仿宋" w:hAnsi="仿宋" w:eastAsia="仿宋" w:cs="仿宋"/>
          <w:color w:val="auto"/>
          <w:sz w:val="32"/>
          <w:szCs w:val="32"/>
          <w:highlight w:val="none"/>
          <w:u w:val="none"/>
          <w:lang w:val="en-US" w:eastAsia="zh-CN"/>
        </w:rPr>
        <w:t>预售项目存在严重质量问题</w:t>
      </w:r>
      <w:r>
        <w:rPr>
          <w:rFonts w:hint="default" w:ascii="仿宋" w:hAnsi="仿宋" w:eastAsia="仿宋" w:cs="仿宋"/>
          <w:color w:val="auto"/>
          <w:sz w:val="32"/>
          <w:szCs w:val="32"/>
          <w:highlight w:val="none"/>
          <w:u w:val="none"/>
          <w:lang w:val="en-US" w:eastAsia="zh-CN"/>
        </w:rPr>
        <w:t>或发生质量事故的</w:t>
      </w:r>
      <w:r>
        <w:rPr>
          <w:rFonts w:hint="eastAsia" w:ascii="仿宋" w:hAnsi="仿宋" w:eastAsia="仿宋" w:cs="仿宋"/>
          <w:color w:val="auto"/>
          <w:sz w:val="32"/>
          <w:szCs w:val="32"/>
          <w:highlight w:val="none"/>
          <w:u w:val="none"/>
        </w:rPr>
        <w:t>；</w:t>
      </w:r>
    </w:p>
    <w:p w14:paraId="025D00D2">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3.预售项目未按期交付使用的；</w:t>
      </w:r>
    </w:p>
    <w:p w14:paraId="75074607">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kern w:val="0"/>
          <w:sz w:val="32"/>
          <w:szCs w:val="32"/>
          <w:highlight w:val="none"/>
          <w:u w:val="none"/>
        </w:rPr>
      </w:pPr>
      <w:r>
        <w:rPr>
          <w:rFonts w:hint="eastAsia" w:ascii="仿宋" w:hAnsi="仿宋" w:eastAsia="仿宋" w:cs="仿宋"/>
          <w:color w:val="auto"/>
          <w:kern w:val="0"/>
          <w:sz w:val="32"/>
          <w:szCs w:val="32"/>
          <w:highlight w:val="none"/>
          <w:u w:val="none"/>
        </w:rPr>
        <w:t>4.</w:t>
      </w:r>
      <w:r>
        <w:rPr>
          <w:rFonts w:hint="eastAsia" w:ascii="仿宋" w:hAnsi="仿宋" w:eastAsia="仿宋" w:cs="仿宋"/>
          <w:color w:val="auto"/>
          <w:sz w:val="32"/>
          <w:szCs w:val="32"/>
          <w:highlight w:val="none"/>
          <w:u w:val="none"/>
        </w:rPr>
        <w:t>违反规定直接收取商品房预售资金的；</w:t>
      </w:r>
    </w:p>
    <w:p w14:paraId="50E2B36A">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pacing w:val="-6"/>
          <w:kern w:val="0"/>
          <w:sz w:val="32"/>
          <w:szCs w:val="32"/>
          <w:highlight w:val="none"/>
          <w:u w:val="none"/>
        </w:rPr>
      </w:pPr>
      <w:r>
        <w:rPr>
          <w:rFonts w:hint="eastAsia" w:ascii="仿宋" w:hAnsi="仿宋" w:eastAsia="仿宋" w:cs="仿宋"/>
          <w:color w:val="auto"/>
          <w:kern w:val="0"/>
          <w:sz w:val="32"/>
          <w:szCs w:val="32"/>
          <w:highlight w:val="none"/>
          <w:u w:val="none"/>
        </w:rPr>
        <w:t>5.</w:t>
      </w:r>
      <w:r>
        <w:rPr>
          <w:rFonts w:hint="eastAsia" w:ascii="仿宋" w:hAnsi="仿宋" w:eastAsia="仿宋" w:cs="仿宋"/>
          <w:color w:val="auto"/>
          <w:spacing w:val="-6"/>
          <w:sz w:val="32"/>
          <w:szCs w:val="32"/>
          <w:highlight w:val="none"/>
          <w:u w:val="none"/>
        </w:rPr>
        <w:t>未按要求及时将预售款、开发贷款等资金存入监管账户的；</w:t>
      </w:r>
    </w:p>
    <w:p w14:paraId="72CC47F2">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kern w:val="0"/>
          <w:sz w:val="32"/>
          <w:szCs w:val="32"/>
          <w:highlight w:val="none"/>
          <w:u w:val="none"/>
        </w:rPr>
        <w:t>6.</w:t>
      </w:r>
      <w:r>
        <w:rPr>
          <w:rFonts w:hint="eastAsia" w:ascii="仿宋" w:hAnsi="仿宋" w:eastAsia="仿宋" w:cs="仿宋"/>
          <w:color w:val="auto"/>
          <w:sz w:val="32"/>
          <w:szCs w:val="32"/>
          <w:highlight w:val="none"/>
          <w:u w:val="none"/>
        </w:rPr>
        <w:t>未按规定使用商品房预售资金的；</w:t>
      </w:r>
    </w:p>
    <w:p w14:paraId="4C5AC12E">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kern w:val="0"/>
          <w:sz w:val="32"/>
          <w:szCs w:val="32"/>
          <w:highlight w:val="none"/>
          <w:u w:val="none"/>
        </w:rPr>
        <w:t>7.</w:t>
      </w:r>
      <w:r>
        <w:rPr>
          <w:rFonts w:hint="eastAsia" w:ascii="仿宋" w:hAnsi="仿宋" w:eastAsia="仿宋" w:cs="仿宋"/>
          <w:color w:val="auto"/>
          <w:sz w:val="32"/>
          <w:szCs w:val="32"/>
          <w:highlight w:val="none"/>
          <w:u w:val="none"/>
        </w:rPr>
        <w:t>提供虚假资料套取商品房预售资金的；</w:t>
      </w:r>
    </w:p>
    <w:p w14:paraId="0226087E">
      <w:pPr>
        <w:autoSpaceDE w:val="0"/>
        <w:adjustRightInd w:val="0"/>
        <w:snapToGrid w:val="0"/>
        <w:spacing w:line="540" w:lineRule="exact"/>
        <w:ind w:firstLine="602" w:firstLineChars="200"/>
        <w:rPr>
          <w:rFonts w:hint="eastAsia" w:ascii="仿宋_GB2312" w:hAnsi="宋体" w:eastAsia="仿宋_GB2312" w:cs="Times New Roman"/>
          <w:sz w:val="32"/>
          <w:szCs w:val="32"/>
          <w:highlight w:val="none"/>
        </w:rPr>
      </w:pPr>
      <w:r>
        <w:rPr>
          <w:rFonts w:hint="eastAsia" w:ascii="仿宋" w:hAnsi="仿宋" w:eastAsia="仿宋" w:cs="仿宋"/>
          <w:color w:val="auto"/>
          <w:kern w:val="0"/>
          <w:sz w:val="32"/>
          <w:szCs w:val="32"/>
          <w:highlight w:val="none"/>
          <w:u w:val="none"/>
          <w:lang w:val="en-US" w:eastAsia="zh-CN"/>
        </w:rPr>
        <w:t>8.</w:t>
      </w:r>
      <w:r>
        <w:rPr>
          <w:rFonts w:hint="eastAsia" w:ascii="仿宋_GB2312" w:hAnsi="宋体" w:eastAsia="仿宋_GB2312" w:cs="Times New Roman"/>
          <w:sz w:val="32"/>
          <w:szCs w:val="32"/>
          <w:highlight w:val="none"/>
          <w:lang w:val="en-US" w:eastAsia="zh-CN"/>
        </w:rPr>
        <w:t>未将监管银行、专用账户等信息在商品房销售场所显著位置公示的；</w:t>
      </w:r>
    </w:p>
    <w:p w14:paraId="62F47D29">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9</w:t>
      </w:r>
      <w:r>
        <w:rPr>
          <w:rFonts w:hint="eastAsia" w:ascii="仿宋" w:hAnsi="仿宋" w:eastAsia="仿宋" w:cs="仿宋"/>
          <w:color w:val="auto"/>
          <w:sz w:val="32"/>
          <w:szCs w:val="32"/>
          <w:highlight w:val="none"/>
          <w:u w:val="none"/>
        </w:rPr>
        <w:t>.代收代缴资金未及时缴交的；</w:t>
      </w:r>
    </w:p>
    <w:p w14:paraId="50065051">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10</w:t>
      </w:r>
      <w:r>
        <w:rPr>
          <w:rFonts w:hint="eastAsia" w:ascii="仿宋" w:hAnsi="仿宋" w:eastAsia="仿宋" w:cs="仿宋"/>
          <w:color w:val="auto"/>
          <w:sz w:val="32"/>
          <w:szCs w:val="32"/>
          <w:highlight w:val="none"/>
          <w:u w:val="none"/>
        </w:rPr>
        <w:t>.其他违反商品房预售资金监管的行为。</w:t>
      </w:r>
    </w:p>
    <w:p w14:paraId="0AD1F6F4">
      <w:pPr>
        <w:pStyle w:val="12"/>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240" w:lineRule="auto"/>
        <w:ind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（三十二）</w:t>
      </w:r>
      <w:r>
        <w:rPr>
          <w:rFonts w:hint="eastAsia" w:ascii="仿宋" w:hAnsi="仿宋" w:eastAsia="仿宋" w:cs="仿宋"/>
          <w:b w:val="0"/>
          <w:bCs w:val="0"/>
          <w:color w:val="auto"/>
          <w:sz w:val="32"/>
          <w:szCs w:val="32"/>
          <w:highlight w:val="none"/>
          <w:u w:val="none"/>
        </w:rPr>
        <w:t>施工、监理、勘察、设计等单位提供虚假证明或采取其他方式协助开发企业违规使用监管额度内资金的，由主管部门对相对参建单位予以曝光，并将其不良行为记入信用档案，按照相关规定予以信用扣分。</w:t>
      </w:r>
    </w:p>
    <w:p w14:paraId="0F942296">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（三十三）</w:t>
      </w:r>
      <w:r>
        <w:rPr>
          <w:rFonts w:hint="eastAsia" w:ascii="仿宋" w:hAnsi="仿宋" w:eastAsia="仿宋" w:cs="仿宋"/>
          <w:b w:val="0"/>
          <w:bCs w:val="0"/>
          <w:color w:val="auto"/>
          <w:sz w:val="32"/>
          <w:szCs w:val="32"/>
          <w:highlight w:val="none"/>
          <w:u w:val="none"/>
        </w:rPr>
        <w:t>销售代理中介机构在监管账户外直接收取预售资金、未将购房款存入监管账户、以收取其他款项为名变相逃避商品房预售资金监管、擅自挪用或者协助开发企业实施逃避预售资金监管行为的，由行业主管部门依法对销售代理中介机构实施重点监管，不良行为计入信用档案并按规定予以信用扣分。</w:t>
      </w:r>
    </w:p>
    <w:p w14:paraId="55967ECF">
      <w:pPr>
        <w:keepNext w:val="0"/>
        <w:keepLines w:val="0"/>
        <w:pageBreakBefore w:val="0"/>
        <w:kinsoku/>
        <w:wordWrap/>
        <w:overflowPunct/>
        <w:topLinePunct w:val="0"/>
        <w:autoSpaceDN/>
        <w:bidi w:val="0"/>
        <w:spacing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（三十四）</w:t>
      </w:r>
      <w:r>
        <w:rPr>
          <w:rFonts w:hint="eastAsia" w:ascii="仿宋" w:hAnsi="仿宋" w:eastAsia="仿宋" w:cs="仿宋"/>
          <w:color w:val="auto"/>
          <w:sz w:val="32"/>
          <w:szCs w:val="32"/>
          <w:highlight w:val="none"/>
          <w:u w:val="none"/>
        </w:rPr>
        <w:t>监管银行有下列情形之一的，由住建主管部门发函要求其限期</w:t>
      </w:r>
      <w:r>
        <w:rPr>
          <w:rFonts w:hint="eastAsia" w:ascii="仿宋" w:hAnsi="仿宋" w:eastAsia="仿宋" w:cs="仿宋"/>
          <w:b w:val="0"/>
          <w:bCs w:val="0"/>
          <w:color w:val="auto"/>
          <w:sz w:val="32"/>
          <w:szCs w:val="32"/>
          <w:highlight w:val="none"/>
          <w:u w:val="none"/>
        </w:rPr>
        <w:t>整改追回资金，无法追回的依法承担相应赔偿责任。相关行为通报人民银行分支机构、银保监部门予以处理。监管银行未在规定时限内整改到位的，移出预售资金监管银行名单，列入商品房预售资金监管不诚信单位名单,不得承接新的监管业务：</w:t>
      </w:r>
    </w:p>
    <w:p w14:paraId="00AEB721">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pacing w:val="-6"/>
          <w:kern w:val="0"/>
          <w:sz w:val="32"/>
          <w:szCs w:val="32"/>
          <w:highlight w:val="none"/>
          <w:u w:val="none"/>
        </w:rPr>
      </w:pPr>
      <w:r>
        <w:rPr>
          <w:rFonts w:hint="eastAsia" w:ascii="仿宋" w:hAnsi="仿宋" w:eastAsia="仿宋" w:cs="仿宋"/>
          <w:color w:val="auto"/>
          <w:sz w:val="32"/>
          <w:szCs w:val="32"/>
          <w:highlight w:val="none"/>
          <w:u w:val="none"/>
        </w:rPr>
        <w:t>1.</w:t>
      </w:r>
      <w:r>
        <w:rPr>
          <w:rFonts w:hint="eastAsia" w:ascii="仿宋" w:hAnsi="仿宋" w:eastAsia="仿宋" w:cs="仿宋"/>
          <w:color w:val="auto"/>
          <w:spacing w:val="-6"/>
          <w:sz w:val="32"/>
          <w:szCs w:val="32"/>
          <w:highlight w:val="none"/>
          <w:u w:val="none"/>
        </w:rPr>
        <w:t>未按要求及时将预售款、开发贷款等资金存入监管账户的；</w:t>
      </w:r>
    </w:p>
    <w:p w14:paraId="723B0EC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2.发现房地产开发企业存在违规收存预售资金行为，未及时通报住建主管部门的；</w:t>
      </w:r>
    </w:p>
    <w:p w14:paraId="6E2C4DB8">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kern w:val="0"/>
          <w:sz w:val="32"/>
          <w:szCs w:val="32"/>
          <w:highlight w:val="none"/>
          <w:u w:val="none"/>
        </w:rPr>
      </w:pPr>
      <w:r>
        <w:rPr>
          <w:rFonts w:hint="eastAsia" w:ascii="仿宋" w:hAnsi="仿宋" w:eastAsia="仿宋" w:cs="仿宋"/>
          <w:color w:val="auto"/>
          <w:sz w:val="32"/>
          <w:szCs w:val="32"/>
          <w:highlight w:val="none"/>
          <w:u w:val="none"/>
        </w:rPr>
        <w:t>3.未经住建主管部门同意擅自拨付商品房预售资金的</w:t>
      </w:r>
      <w:r>
        <w:rPr>
          <w:rFonts w:hint="eastAsia" w:ascii="仿宋" w:hAnsi="仿宋" w:eastAsia="仿宋" w:cs="仿宋"/>
          <w:color w:val="auto"/>
          <w:kern w:val="0"/>
          <w:sz w:val="32"/>
          <w:szCs w:val="32"/>
          <w:highlight w:val="none"/>
          <w:u w:val="none"/>
        </w:rPr>
        <w:t>；</w:t>
      </w:r>
    </w:p>
    <w:p w14:paraId="38654944">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kern w:val="2"/>
          <w:sz w:val="32"/>
          <w:szCs w:val="32"/>
          <w:highlight w:val="none"/>
          <w:u w:val="none"/>
        </w:rPr>
        <w:t>4.</w:t>
      </w:r>
      <w:r>
        <w:rPr>
          <w:rFonts w:hint="eastAsia" w:ascii="仿宋" w:hAnsi="仿宋" w:eastAsia="仿宋" w:cs="仿宋"/>
          <w:color w:val="auto"/>
          <w:sz w:val="32"/>
          <w:szCs w:val="32"/>
          <w:highlight w:val="none"/>
          <w:u w:val="none"/>
        </w:rPr>
        <w:t>未按预售资金监管系统数据接口规范传输数据的；</w:t>
      </w:r>
    </w:p>
    <w:p w14:paraId="468FB6A9">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5.拒不配合监管部门对预售资金监管账户监督检查的；</w:t>
      </w:r>
    </w:p>
    <w:p w14:paraId="283140D5">
      <w:pPr>
        <w:autoSpaceDE w:val="0"/>
        <w:adjustRightInd w:val="0"/>
        <w:snapToGrid w:val="0"/>
        <w:spacing w:line="540" w:lineRule="exact"/>
        <w:ind w:firstLine="602" w:firstLineChars="200"/>
        <w:rPr>
          <w:rFonts w:hint="eastAsia" w:ascii="仿宋_GB2312" w:hAnsi="宋体" w:eastAsia="仿宋_GB2312" w:cs="Times New Roman"/>
          <w:spacing w:val="-6"/>
          <w:sz w:val="32"/>
          <w:szCs w:val="32"/>
          <w:highlight w:val="none"/>
          <w:lang w:val="en-US" w:eastAsia="zh-CN"/>
        </w:rPr>
      </w:pPr>
      <w:r>
        <w:rPr>
          <w:rFonts w:hint="eastAsia" w:ascii="仿宋" w:hAnsi="仿宋" w:eastAsia="仿宋" w:cs="仿宋"/>
          <w:color w:val="auto"/>
          <w:sz w:val="32"/>
          <w:szCs w:val="32"/>
          <w:highlight w:val="none"/>
          <w:u w:val="none"/>
          <w:lang w:val="en-US" w:eastAsia="zh-CN"/>
        </w:rPr>
        <w:t>6.</w:t>
      </w:r>
      <w:r>
        <w:rPr>
          <w:rFonts w:hint="default" w:ascii="仿宋_GB2312" w:hAnsi="宋体" w:eastAsia="仿宋_GB2312" w:cs="Times New Roman"/>
          <w:spacing w:val="-6"/>
          <w:sz w:val="32"/>
          <w:szCs w:val="32"/>
          <w:highlight w:val="none"/>
          <w:lang w:val="en-US" w:eastAsia="zh-CN"/>
        </w:rPr>
        <w:t>擅自截留、挪用或者拖延支付商品房预售资金的;</w:t>
      </w:r>
    </w:p>
    <w:p w14:paraId="523583B9">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sz w:val="32"/>
          <w:szCs w:val="32"/>
          <w:highlight w:val="none"/>
          <w:u w:val="none"/>
          <w:lang w:val="en-US" w:eastAsia="zh-CN"/>
        </w:rPr>
        <w:t>7</w:t>
      </w:r>
      <w:r>
        <w:rPr>
          <w:rFonts w:hint="eastAsia" w:ascii="仿宋" w:hAnsi="仿宋" w:eastAsia="仿宋" w:cs="仿宋"/>
          <w:color w:val="auto"/>
          <w:kern w:val="2"/>
          <w:sz w:val="32"/>
          <w:szCs w:val="32"/>
          <w:highlight w:val="none"/>
          <w:u w:val="none"/>
        </w:rPr>
        <w:t>.其他违反预售资金监管规定的行为。</w:t>
      </w:r>
    </w:p>
    <w:p w14:paraId="4E1DA8C3">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移出预售资金监管银行名单的,两年内不得再加入预售资金监管银行名单。</w:t>
      </w:r>
    </w:p>
    <w:p w14:paraId="3A81A443">
      <w:pPr>
        <w:pStyle w:val="1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bCs/>
          <w:color w:val="auto"/>
          <w:sz w:val="32"/>
          <w:szCs w:val="32"/>
          <w:highlight w:val="none"/>
          <w:u w:val="none"/>
        </w:rPr>
        <w:t>（三十五）</w:t>
      </w:r>
      <w:r>
        <w:rPr>
          <w:rFonts w:hint="eastAsia" w:ascii="仿宋" w:hAnsi="仿宋" w:eastAsia="仿宋" w:cs="仿宋"/>
          <w:b w:val="0"/>
          <w:bCs w:val="0"/>
          <w:color w:val="auto"/>
          <w:sz w:val="32"/>
          <w:szCs w:val="32"/>
          <w:highlight w:val="none"/>
          <w:u w:val="none"/>
        </w:rPr>
        <w:t>住建主管部门内设科室、局属单位要加强信息互通、联动，形成监管合力。住建主管部门、监管银行等工作人员在商品房预售资金监管工作中玩忽值守、徇私舞弊、滥用职权，构成犯罪的，依法追究刑事责任；不构成犯罪的，给予行政处分。</w:t>
      </w:r>
    </w:p>
    <w:p w14:paraId="05F65204">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bCs/>
          <w:color w:val="auto"/>
          <w:kern w:val="2"/>
          <w:sz w:val="32"/>
          <w:szCs w:val="32"/>
          <w:highlight w:val="none"/>
          <w:u w:val="none"/>
        </w:rPr>
        <w:t>八、附则</w:t>
      </w:r>
    </w:p>
    <w:p w14:paraId="0C78006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bCs/>
          <w:color w:val="auto"/>
          <w:kern w:val="2"/>
          <w:sz w:val="32"/>
          <w:szCs w:val="32"/>
          <w:highlight w:val="none"/>
          <w:u w:val="none"/>
        </w:rPr>
        <w:t>（三十六）</w:t>
      </w:r>
      <w:r>
        <w:rPr>
          <w:rFonts w:hint="eastAsia" w:ascii="仿宋" w:hAnsi="仿宋" w:eastAsia="仿宋" w:cs="仿宋"/>
          <w:color w:val="auto"/>
          <w:kern w:val="2"/>
          <w:sz w:val="32"/>
          <w:szCs w:val="32"/>
          <w:highlight w:val="none"/>
          <w:u w:val="none"/>
        </w:rPr>
        <w:t>本</w:t>
      </w:r>
      <w:r>
        <w:rPr>
          <w:rFonts w:hint="eastAsia" w:ascii="仿宋" w:hAnsi="仿宋" w:eastAsia="仿宋" w:cs="仿宋"/>
          <w:b w:val="0"/>
          <w:bCs w:val="0"/>
          <w:color w:val="auto"/>
          <w:kern w:val="2"/>
          <w:sz w:val="32"/>
          <w:szCs w:val="32"/>
          <w:highlight w:val="none"/>
          <w:u w:val="none"/>
        </w:rPr>
        <w:t>规定自公布之日起30日后施行。</w:t>
      </w:r>
      <w:r>
        <w:rPr>
          <w:rFonts w:hint="eastAsia" w:ascii="仿宋" w:hAnsi="仿宋" w:eastAsia="仿宋" w:cs="仿宋"/>
          <w:b w:val="0"/>
          <w:bCs w:val="0"/>
          <w:color w:val="auto"/>
          <w:sz w:val="32"/>
          <w:szCs w:val="32"/>
          <w:highlight w:val="none"/>
          <w:u w:val="none"/>
        </w:rPr>
        <w:t>本规定施行后，《泉州市住房和城乡建设局关于印发〈泉州市商品房预售资金监督管理规定〉的通知》（泉建房〔2021〕7号）</w:t>
      </w:r>
      <w:r>
        <w:rPr>
          <w:rFonts w:hint="eastAsia" w:ascii="仿宋" w:hAnsi="仿宋" w:eastAsia="仿宋" w:cs="仿宋"/>
          <w:b w:val="0"/>
          <w:bCs w:val="0"/>
          <w:color w:val="auto"/>
          <w:spacing w:val="-8"/>
          <w:sz w:val="32"/>
          <w:szCs w:val="32"/>
          <w:highlight w:val="none"/>
          <w:u w:val="none"/>
        </w:rPr>
        <w:t>同时废止</w:t>
      </w:r>
      <w:r>
        <w:rPr>
          <w:rFonts w:hint="eastAsia" w:ascii="仿宋" w:hAnsi="仿宋" w:eastAsia="仿宋" w:cs="仿宋"/>
          <w:b w:val="0"/>
          <w:bCs w:val="0"/>
          <w:color w:val="auto"/>
          <w:kern w:val="2"/>
          <w:sz w:val="32"/>
          <w:szCs w:val="32"/>
          <w:highlight w:val="none"/>
          <w:u w:val="none"/>
        </w:rPr>
        <w:t>。</w:t>
      </w:r>
    </w:p>
    <w:p w14:paraId="4C81C6AB">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_GB2312" w:eastAsia="仿宋_GB2312"/>
          <w:color w:val="auto"/>
          <w:sz w:val="32"/>
          <w:szCs w:val="32"/>
          <w:highlight w:val="none"/>
          <w:u w:val="none"/>
        </w:rPr>
      </w:pPr>
      <w:r>
        <w:rPr>
          <w:rFonts w:hint="eastAsia" w:ascii="仿宋" w:hAnsi="仿宋" w:eastAsia="仿宋" w:cs="仿宋"/>
          <w:b/>
          <w:bCs/>
          <w:color w:val="auto"/>
          <w:sz w:val="32"/>
          <w:szCs w:val="32"/>
          <w:highlight w:val="none"/>
          <w:u w:val="none"/>
        </w:rPr>
        <w:t>（三十七）</w:t>
      </w:r>
      <w:r>
        <w:rPr>
          <w:rFonts w:hint="eastAsia" w:ascii="仿宋" w:hAnsi="仿宋" w:eastAsia="仿宋" w:cs="仿宋"/>
          <w:color w:val="auto"/>
          <w:sz w:val="32"/>
          <w:szCs w:val="32"/>
          <w:highlight w:val="none"/>
          <w:u w:val="none"/>
        </w:rPr>
        <w:t>本规定由泉州市住建局负责解释。</w:t>
      </w:r>
      <w:r>
        <w:rPr>
          <w:rFonts w:hint="eastAsia" w:ascii="仿宋" w:hAnsi="仿宋" w:eastAsia="仿宋" w:cs="仿宋"/>
          <w:b w:val="0"/>
          <w:bCs w:val="0"/>
          <w:color w:val="auto"/>
          <w:sz w:val="32"/>
          <w:szCs w:val="32"/>
          <w:highlight w:val="none"/>
          <w:u w:val="none"/>
        </w:rPr>
        <w:t>各县（市）、泉港区可结合本地实际，参照本规定，制定辖区商品</w:t>
      </w:r>
      <w:r>
        <w:rPr>
          <w:rFonts w:hint="eastAsia" w:ascii="仿宋" w:hAnsi="仿宋" w:eastAsia="仿宋" w:cs="仿宋"/>
          <w:color w:val="auto"/>
          <w:sz w:val="32"/>
          <w:szCs w:val="32"/>
          <w:highlight w:val="none"/>
          <w:u w:val="none"/>
        </w:rPr>
        <w:t>房预售资金监管制度，加强对商品房预售资金监督管理。</w:t>
      </w:r>
      <w:r>
        <w:rPr>
          <w:rFonts w:hint="eastAsia" w:ascii="仿宋_GB2312" w:eastAsia="仿宋_GB2312"/>
          <w:color w:val="auto"/>
          <w:sz w:val="32"/>
          <w:szCs w:val="32"/>
          <w:highlight w:val="none"/>
          <w:u w:val="none"/>
        </w:rPr>
        <w:t xml:space="preserve"> </w:t>
      </w:r>
    </w:p>
    <w:p w14:paraId="30516C7D">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_GB2312" w:eastAsia="仿宋_GB2312" w:cs="Times New Roman"/>
          <w:color w:val="auto"/>
          <w:kern w:val="2"/>
          <w:sz w:val="32"/>
          <w:szCs w:val="32"/>
          <w:highlight w:val="none"/>
          <w:u w:val="none"/>
        </w:rPr>
      </w:pPr>
    </w:p>
    <w:p w14:paraId="30CF5F82">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_GB2312" w:eastAsia="仿宋_GB2312" w:cs="Times New Roman"/>
          <w:color w:val="auto"/>
          <w:kern w:val="2"/>
          <w:sz w:val="32"/>
          <w:szCs w:val="32"/>
          <w:highlight w:val="none"/>
          <w:u w:val="none"/>
        </w:rPr>
      </w:pPr>
      <w:r>
        <w:rPr>
          <w:rFonts w:hint="eastAsia" w:ascii="仿宋_GB2312" w:eastAsia="仿宋_GB2312" w:cs="Times New Roman"/>
          <w:color w:val="auto"/>
          <w:kern w:val="2"/>
          <w:sz w:val="32"/>
          <w:szCs w:val="32"/>
          <w:highlight w:val="none"/>
          <w:u w:val="none"/>
        </w:rPr>
        <w:t>附件：预售资金监管各个流程操作程序</w:t>
      </w:r>
    </w:p>
    <w:p w14:paraId="04F87CCA">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_GB2312" w:hAnsi="仿宋" w:eastAsia="仿宋_GB2312"/>
          <w:color w:val="auto"/>
          <w:sz w:val="32"/>
          <w:szCs w:val="32"/>
          <w:highlight w:val="none"/>
          <w:u w:val="none"/>
        </w:rPr>
      </w:pPr>
    </w:p>
    <w:p w14:paraId="7892D278">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_GB2312" w:hAnsi="仿宋" w:eastAsia="仿宋_GB2312"/>
          <w:color w:val="auto"/>
          <w:sz w:val="32"/>
          <w:szCs w:val="32"/>
          <w:highlight w:val="none"/>
          <w:u w:val="none"/>
        </w:rPr>
      </w:pPr>
    </w:p>
    <w:p w14:paraId="0908D7A2">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_GB2312" w:hAnsi="仿宋" w:eastAsia="仿宋_GB2312"/>
          <w:color w:val="auto"/>
          <w:sz w:val="32"/>
          <w:szCs w:val="32"/>
          <w:highlight w:val="none"/>
          <w:u w:val="none"/>
        </w:rPr>
      </w:pPr>
    </w:p>
    <w:p w14:paraId="15555F2B">
      <w:pPr>
        <w:pStyle w:val="2"/>
        <w:rPr>
          <w:rFonts w:hint="eastAsia" w:ascii="仿宋_GB2312" w:hAnsi="仿宋" w:eastAsia="仿宋_GB2312"/>
          <w:color w:val="auto"/>
          <w:sz w:val="32"/>
          <w:szCs w:val="32"/>
          <w:highlight w:val="none"/>
          <w:u w:val="none"/>
        </w:rPr>
      </w:pPr>
    </w:p>
    <w:p w14:paraId="6CC7A437">
      <w:pPr>
        <w:pStyle w:val="3"/>
        <w:numPr>
          <w:ilvl w:val="4"/>
          <w:numId w:val="0"/>
        </w:numPr>
        <w:ind w:left="0" w:firstLine="0"/>
        <w:rPr>
          <w:rFonts w:hint="eastAsia"/>
          <w:highlight w:val="none"/>
        </w:rPr>
      </w:pPr>
    </w:p>
    <w:p w14:paraId="45ACE1D0">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hint="eastAsia" w:ascii="黑体" w:hAnsi="黑体" w:eastAsia="黑体"/>
          <w:bCs/>
          <w:color w:val="auto"/>
          <w:kern w:val="2"/>
          <w:sz w:val="32"/>
          <w:szCs w:val="32"/>
          <w:highlight w:val="none"/>
          <w:u w:val="none"/>
        </w:rPr>
      </w:pPr>
    </w:p>
    <w:p w14:paraId="265C871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hint="eastAsia" w:ascii="黑体" w:hAnsi="黑体" w:eastAsia="黑体"/>
          <w:bCs/>
          <w:color w:val="auto"/>
          <w:kern w:val="2"/>
          <w:sz w:val="32"/>
          <w:szCs w:val="32"/>
          <w:highlight w:val="none"/>
          <w:u w:val="none"/>
        </w:rPr>
      </w:pPr>
    </w:p>
    <w:p w14:paraId="34A00EB5">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hint="eastAsia" w:ascii="黑体" w:hAnsi="黑体" w:eastAsia="黑体"/>
          <w:bCs/>
          <w:color w:val="auto"/>
          <w:kern w:val="2"/>
          <w:sz w:val="32"/>
          <w:szCs w:val="32"/>
          <w:highlight w:val="none"/>
          <w:u w:val="none"/>
        </w:rPr>
      </w:pPr>
    </w:p>
    <w:p w14:paraId="3DFAD271">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hint="eastAsia" w:ascii="黑体" w:hAnsi="黑体" w:eastAsia="黑体"/>
          <w:bCs/>
          <w:color w:val="auto"/>
          <w:kern w:val="2"/>
          <w:sz w:val="32"/>
          <w:szCs w:val="32"/>
          <w:highlight w:val="none"/>
          <w:u w:val="none"/>
        </w:rPr>
      </w:pPr>
    </w:p>
    <w:p w14:paraId="3175F394">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hint="eastAsia" w:ascii="黑体" w:hAnsi="黑体" w:eastAsia="黑体"/>
          <w:bCs/>
          <w:color w:val="auto"/>
          <w:kern w:val="2"/>
          <w:sz w:val="32"/>
          <w:szCs w:val="32"/>
          <w:highlight w:val="none"/>
          <w:u w:val="none"/>
        </w:rPr>
      </w:pPr>
    </w:p>
    <w:p w14:paraId="475FEAAB">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ascii="黑体" w:hAnsi="黑体" w:eastAsia="黑体"/>
          <w:bCs/>
          <w:color w:val="auto"/>
          <w:kern w:val="2"/>
          <w:sz w:val="32"/>
          <w:szCs w:val="32"/>
          <w:highlight w:val="none"/>
          <w:u w:val="none"/>
        </w:rPr>
      </w:pPr>
      <w:r>
        <w:rPr>
          <w:rFonts w:hint="eastAsia" w:ascii="黑体" w:hAnsi="黑体" w:eastAsia="黑体"/>
          <w:bCs/>
          <w:color w:val="auto"/>
          <w:kern w:val="2"/>
          <w:sz w:val="32"/>
          <w:szCs w:val="32"/>
          <w:highlight w:val="none"/>
          <w:u w:val="none"/>
        </w:rPr>
        <w:t>附件</w:t>
      </w:r>
    </w:p>
    <w:p w14:paraId="1D515D35">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842" w:firstLineChars="200"/>
        <w:jc w:val="center"/>
        <w:textAlignment w:val="auto"/>
        <w:rPr>
          <w:rFonts w:hint="eastAsia" w:ascii="仿宋_GB2312" w:eastAsia="仿宋_GB2312"/>
          <w:color w:val="auto"/>
          <w:sz w:val="32"/>
          <w:szCs w:val="32"/>
          <w:highlight w:val="none"/>
          <w:u w:val="none"/>
        </w:rPr>
      </w:pPr>
      <w:r>
        <w:rPr>
          <w:rFonts w:hint="eastAsia"/>
          <w:b/>
          <w:bCs/>
          <w:color w:val="auto"/>
          <w:kern w:val="2"/>
          <w:sz w:val="44"/>
          <w:szCs w:val="44"/>
          <w:highlight w:val="none"/>
          <w:u w:val="none"/>
        </w:rPr>
        <w:t>预售资金监管各流程操作程序</w:t>
      </w:r>
    </w:p>
    <w:p w14:paraId="1D3B4A14">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黑体" w:hAnsi="黑体" w:eastAsia="黑体" w:cs="宋体"/>
          <w:color w:val="auto"/>
          <w:sz w:val="32"/>
          <w:szCs w:val="32"/>
          <w:highlight w:val="none"/>
          <w:u w:val="none"/>
        </w:rPr>
      </w:pPr>
      <w:r>
        <w:rPr>
          <w:rFonts w:hint="eastAsia" w:ascii="黑体" w:hAnsi="黑体" w:eastAsia="黑体"/>
          <w:color w:val="auto"/>
          <w:sz w:val="32"/>
          <w:szCs w:val="32"/>
          <w:highlight w:val="none"/>
          <w:u w:val="none"/>
        </w:rPr>
        <w:t>一、签订监管协议操作程序</w:t>
      </w:r>
    </w:p>
    <w:p w14:paraId="6CEAAEE2">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olor w:val="auto"/>
          <w:sz w:val="32"/>
          <w:szCs w:val="32"/>
          <w:highlight w:val="none"/>
          <w:u w:val="none"/>
        </w:rPr>
      </w:pPr>
      <w:r>
        <w:rPr>
          <w:rFonts w:hint="eastAsia" w:ascii="仿宋_GB2312" w:eastAsia="仿宋_GB2312"/>
          <w:color w:val="auto"/>
          <w:sz w:val="32"/>
          <w:szCs w:val="32"/>
          <w:highlight w:val="none"/>
          <w:u w:val="none"/>
        </w:rPr>
        <w:t>（一）提出申请。开发企业提交申请表，或登录资金监管系统，选择监管银行并填写提交监管账户、企业基本信息、监管金额等相关内容。</w:t>
      </w:r>
    </w:p>
    <w:p w14:paraId="50E19158">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（二）要件提交。</w:t>
      </w:r>
    </w:p>
    <w:p w14:paraId="0FE9A85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olor w:val="auto"/>
          <w:sz w:val="32"/>
          <w:szCs w:val="32"/>
          <w:highlight w:val="none"/>
          <w:u w:val="none"/>
        </w:rPr>
        <w:t>1. 预售资金监管方案；</w:t>
      </w:r>
    </w:p>
    <w:p w14:paraId="217C26DF">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2. 企业法人营业执照；</w:t>
      </w:r>
    </w:p>
    <w:p w14:paraId="5C2483A2">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3. 企业开发资质证书；</w:t>
      </w:r>
    </w:p>
    <w:p w14:paraId="5326891E">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4. 建设工程规划许可证；</w:t>
      </w:r>
    </w:p>
    <w:p w14:paraId="0EDD1B29">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5. 建筑工程施工许可证；</w:t>
      </w:r>
    </w:p>
    <w:p w14:paraId="612CEDBB">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6. 规划总平面图纸；</w:t>
      </w:r>
    </w:p>
    <w:p w14:paraId="47BD37C4">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eastAsia="仿宋_GB2312"/>
          <w:color w:val="auto"/>
          <w:sz w:val="32"/>
          <w:szCs w:val="32"/>
          <w:highlight w:val="none"/>
          <w:u w:val="none"/>
        </w:rPr>
        <w:t>7. 地名命名文件；</w:t>
      </w:r>
    </w:p>
    <w:p w14:paraId="6D251160">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8. 其他应当提供的资料。</w:t>
      </w:r>
    </w:p>
    <w:p w14:paraId="1F84D9B9">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增设账户只需提交预售资金监管方案及发放开发贷款（若有）监管账户银行意见。</w:t>
      </w:r>
    </w:p>
    <w:p w14:paraId="3797D15E">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变更账户只需提交申请表、原监管协议（开发企业及原监管银行）、原监管账户银行出具的监管资金划转同意函。</w:t>
      </w:r>
    </w:p>
    <w:p w14:paraId="40BC5B5A">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监管协议签订。住建主管部门、监管银行、开发企业根据资金监管系统打印的《商品房预售资金监管协议书》签订协议。  </w:t>
      </w:r>
    </w:p>
    <w:p w14:paraId="6EB290F5">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黑体" w:hAnsi="黑体" w:eastAsia="黑体" w:cs="宋体"/>
          <w:color w:val="auto"/>
          <w:kern w:val="0"/>
          <w:sz w:val="32"/>
          <w:szCs w:val="32"/>
          <w:highlight w:val="none"/>
          <w:u w:val="none"/>
        </w:rPr>
      </w:pPr>
      <w:r>
        <w:rPr>
          <w:rFonts w:hint="eastAsia" w:ascii="黑体" w:hAnsi="黑体" w:eastAsia="黑体"/>
          <w:color w:val="auto"/>
          <w:sz w:val="32"/>
          <w:szCs w:val="32"/>
          <w:highlight w:val="none"/>
          <w:u w:val="none"/>
        </w:rPr>
        <w:t>二、监管资金使用节点核验操作程序</w:t>
      </w:r>
    </w:p>
    <w:p w14:paraId="41E44C3A">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olor w:val="auto"/>
          <w:sz w:val="32"/>
          <w:szCs w:val="32"/>
          <w:highlight w:val="none"/>
          <w:u w:val="none"/>
        </w:rPr>
      </w:pPr>
      <w:r>
        <w:rPr>
          <w:rFonts w:hint="eastAsia" w:ascii="仿宋_GB2312" w:eastAsia="仿宋_GB2312"/>
          <w:b/>
          <w:color w:val="auto"/>
          <w:sz w:val="32"/>
          <w:szCs w:val="32"/>
          <w:highlight w:val="none"/>
          <w:u w:val="none"/>
        </w:rPr>
        <w:t>1. 提交申请。</w:t>
      </w:r>
      <w:r>
        <w:rPr>
          <w:rFonts w:hint="eastAsia" w:ascii="仿宋_GB2312" w:eastAsia="仿宋_GB2312"/>
          <w:color w:val="auto"/>
          <w:sz w:val="32"/>
          <w:szCs w:val="32"/>
          <w:highlight w:val="none"/>
          <w:u w:val="none"/>
        </w:rPr>
        <w:t>开发企业提交申请表，或登录预售资金监管系统，填写提交申请事项。</w:t>
      </w:r>
    </w:p>
    <w:p w14:paraId="017AB9F8">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2．要件提交。</w:t>
      </w:r>
    </w:p>
    <w:p w14:paraId="1511E3B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（1）达到预售条件，提交《商品房预售许可证》；</w:t>
      </w:r>
    </w:p>
    <w:p w14:paraId="4B6B9A79">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（2）工程建设进度达50%，提交由施工、监理单位的书面证明材料和施工现场照片；</w:t>
      </w:r>
    </w:p>
    <w:p w14:paraId="3AFD0DD3">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（3）主体工程封顶，提交由施工、监理单位的书面证明材料和施工现场照片；</w:t>
      </w:r>
    </w:p>
    <w:p w14:paraId="500CF6FA">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（4）外墙装修完毕脚手架拆除，提交由施工、监理单位的书面证明材料和施工现场照片；</w:t>
      </w:r>
    </w:p>
    <w:p w14:paraId="7C600D58">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（5）单体验收完成，提交单体验收备案证明；</w:t>
      </w:r>
    </w:p>
    <w:p w14:paraId="6ED4D6AC">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（6）完成综合验收备案的，提交综合验收备案证明；</w:t>
      </w:r>
    </w:p>
    <w:p w14:paraId="13CF8A53">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（7）其他应当提供的资料。</w:t>
      </w:r>
    </w:p>
    <w:p w14:paraId="72BA0543">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pacing w:val="-8"/>
          <w:sz w:val="32"/>
          <w:szCs w:val="32"/>
          <w:highlight w:val="none"/>
          <w:u w:val="none"/>
        </w:rPr>
      </w:pPr>
      <w:r>
        <w:rPr>
          <w:rFonts w:hint="eastAsia" w:ascii="仿宋_GB2312" w:eastAsia="仿宋_GB2312"/>
          <w:b/>
          <w:color w:val="auto"/>
          <w:sz w:val="32"/>
          <w:szCs w:val="32"/>
          <w:highlight w:val="none"/>
          <w:u w:val="none"/>
        </w:rPr>
        <w:t>3、要件审核。</w:t>
      </w:r>
      <w:r>
        <w:rPr>
          <w:rFonts w:hint="eastAsia" w:ascii="仿宋_GB2312" w:eastAsia="仿宋_GB2312"/>
          <w:color w:val="auto"/>
          <w:spacing w:val="-8"/>
          <w:sz w:val="32"/>
          <w:szCs w:val="32"/>
          <w:highlight w:val="none"/>
          <w:u w:val="none"/>
        </w:rPr>
        <w:t>住建主管部门受理申请后3个工作日内完成审核。</w:t>
      </w:r>
    </w:p>
    <w:p w14:paraId="3097EC1E">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黑体" w:hAnsi="黑体" w:eastAsia="黑体" w:cs="宋体"/>
          <w:color w:val="auto"/>
          <w:kern w:val="0"/>
          <w:sz w:val="32"/>
          <w:szCs w:val="32"/>
          <w:highlight w:val="none"/>
          <w:u w:val="none"/>
        </w:rPr>
      </w:pPr>
      <w:r>
        <w:rPr>
          <w:rFonts w:hint="eastAsia" w:ascii="黑体" w:hAnsi="黑体" w:eastAsia="黑体"/>
          <w:color w:val="auto"/>
          <w:sz w:val="32"/>
          <w:szCs w:val="32"/>
          <w:highlight w:val="none"/>
          <w:u w:val="none"/>
        </w:rPr>
        <w:t>三、重点监管资金拨付操作程序</w:t>
      </w:r>
    </w:p>
    <w:p w14:paraId="03519FF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olor w:val="auto"/>
          <w:sz w:val="32"/>
          <w:szCs w:val="32"/>
          <w:highlight w:val="none"/>
          <w:u w:val="none"/>
        </w:rPr>
      </w:pPr>
      <w:r>
        <w:rPr>
          <w:rFonts w:hint="eastAsia" w:ascii="仿宋_GB2312" w:eastAsia="仿宋_GB2312"/>
          <w:b/>
          <w:color w:val="auto"/>
          <w:sz w:val="32"/>
          <w:szCs w:val="32"/>
          <w:highlight w:val="none"/>
          <w:u w:val="none"/>
        </w:rPr>
        <w:t>（一）提交申请。</w:t>
      </w:r>
      <w:r>
        <w:rPr>
          <w:rFonts w:hint="eastAsia" w:ascii="仿宋_GB2312" w:eastAsia="仿宋_GB2312"/>
          <w:color w:val="auto"/>
          <w:sz w:val="32"/>
          <w:szCs w:val="32"/>
          <w:highlight w:val="none"/>
          <w:u w:val="none"/>
        </w:rPr>
        <w:t>开发企业提交申请表，或登录预售资金监管系统，填写提交申请事项。</w:t>
      </w:r>
    </w:p>
    <w:p w14:paraId="4431554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（二）要件提交。</w:t>
      </w:r>
    </w:p>
    <w:p w14:paraId="29A9776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1.用于支付建设施工进度款，提供经建设管理部门备案的工程施工合同、施工监理单位出具的施工进度证明和施工单位的用款申请；</w:t>
      </w:r>
    </w:p>
    <w:p w14:paraId="4F094FC8">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2.用于支付购买项目建设必需的建筑材料、设备款项的，提供与供应商签订的购销合同；</w:t>
      </w:r>
    </w:p>
    <w:p w14:paraId="008D21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3.用于支付本工程其他相关费用的，提供申报项目发生金额的正式发票复印件（加盖单位公章，原件核对）。</w:t>
      </w:r>
    </w:p>
    <w:p w14:paraId="4406F8EA">
      <w:pPr>
        <w:pStyle w:val="2"/>
        <w:keepNext w:val="0"/>
        <w:keepLines w:val="0"/>
        <w:pageBreakBefore w:val="0"/>
        <w:widowControl w:val="0"/>
        <w:kinsoku/>
        <w:wordWrap/>
        <w:overflowPunct/>
        <w:topLinePunct w:val="0"/>
        <w:autoSpaceDE/>
        <w:autoSpaceDN/>
        <w:bidi w:val="0"/>
        <w:adjustRightInd/>
        <w:snapToGrid/>
        <w:spacing w:after="0" w:line="560" w:lineRule="exact"/>
        <w:ind w:firstLine="602" w:firstLineChars="200"/>
        <w:textAlignment w:val="auto"/>
        <w:rPr>
          <w:rFonts w:hint="default"/>
          <w:b w:val="0"/>
          <w:bCs w:val="0"/>
          <w:color w:val="auto"/>
          <w:highlight w:val="none"/>
          <w:lang w:val="en-US" w:eastAsia="zh-CN"/>
        </w:rPr>
      </w:pPr>
      <w:r>
        <w:rPr>
          <w:rFonts w:hint="eastAsia" w:ascii="仿宋_GB2312" w:hAnsi="Times New Roman" w:eastAsia="仿宋_GB2312" w:cs="Times New Roman"/>
          <w:color w:val="auto"/>
          <w:kern w:val="2"/>
          <w:sz w:val="32"/>
          <w:szCs w:val="32"/>
          <w:highlight w:val="none"/>
          <w:u w:val="none"/>
          <w:lang w:val="en-US" w:eastAsia="zh-CN" w:bidi="ar-SA"/>
        </w:rPr>
        <w:t>4.</w:t>
      </w:r>
      <w:r>
        <w:rPr>
          <w:rFonts w:hint="default" w:ascii="仿宋_GB2312" w:hAnsi="Times New Roman" w:eastAsia="仿宋_GB2312" w:cs="Times New Roman"/>
          <w:b w:val="0"/>
          <w:bCs w:val="0"/>
          <w:color w:val="auto"/>
          <w:kern w:val="2"/>
          <w:sz w:val="32"/>
          <w:szCs w:val="32"/>
          <w:highlight w:val="none"/>
          <w:u w:val="none"/>
          <w:lang w:val="en-US" w:eastAsia="zh-CN" w:bidi="ar-SA"/>
        </w:rPr>
        <w:t>对存在大规模延期交房、</w:t>
      </w:r>
      <w:r>
        <w:rPr>
          <w:rFonts w:hint="eastAsia" w:ascii="仿宋_GB2312" w:hAnsi="Times New Roman" w:eastAsia="仿宋_GB2312" w:cs="Times New Roman"/>
          <w:b w:val="0"/>
          <w:bCs w:val="0"/>
          <w:color w:val="auto"/>
          <w:kern w:val="2"/>
          <w:sz w:val="32"/>
          <w:szCs w:val="32"/>
          <w:highlight w:val="none"/>
          <w:u w:val="none"/>
          <w:lang w:val="en-US" w:eastAsia="zh-CN" w:bidi="ar-SA"/>
        </w:rPr>
        <w:t>施工问题频发、</w:t>
      </w:r>
      <w:r>
        <w:rPr>
          <w:rFonts w:hint="default" w:ascii="仿宋_GB2312" w:hAnsi="Times New Roman" w:eastAsia="仿宋_GB2312" w:cs="Times New Roman"/>
          <w:b w:val="0"/>
          <w:bCs w:val="0"/>
          <w:color w:val="auto"/>
          <w:kern w:val="2"/>
          <w:sz w:val="32"/>
          <w:szCs w:val="32"/>
          <w:highlight w:val="none"/>
          <w:u w:val="none"/>
          <w:lang w:val="en-US" w:eastAsia="zh-CN" w:bidi="ar-SA"/>
        </w:rPr>
        <w:t>负面舆情较多、总部集团出险</w:t>
      </w:r>
      <w:r>
        <w:rPr>
          <w:rFonts w:hint="eastAsia" w:ascii="仿宋_GB2312" w:hAnsi="Times New Roman" w:eastAsia="仿宋_GB2312" w:cs="Times New Roman"/>
          <w:b w:val="0"/>
          <w:bCs w:val="0"/>
          <w:color w:val="auto"/>
          <w:kern w:val="2"/>
          <w:sz w:val="32"/>
          <w:szCs w:val="32"/>
          <w:highlight w:val="none"/>
          <w:u w:val="none"/>
          <w:lang w:val="en-US" w:eastAsia="zh-CN" w:bidi="ar-SA"/>
        </w:rPr>
        <w:t>及工程总承包账户被冻结</w:t>
      </w:r>
      <w:r>
        <w:rPr>
          <w:rFonts w:hint="default" w:ascii="仿宋_GB2312" w:hAnsi="Times New Roman" w:eastAsia="仿宋_GB2312" w:cs="Times New Roman"/>
          <w:b w:val="0"/>
          <w:bCs w:val="0"/>
          <w:color w:val="auto"/>
          <w:kern w:val="2"/>
          <w:sz w:val="32"/>
          <w:szCs w:val="32"/>
          <w:highlight w:val="none"/>
          <w:u w:val="none"/>
          <w:lang w:val="en-US" w:eastAsia="zh-CN" w:bidi="ar-SA"/>
        </w:rPr>
        <w:t>等存在经营风险的房地产项目，</w:t>
      </w:r>
      <w:r>
        <w:rPr>
          <w:rFonts w:hint="eastAsia" w:ascii="仿宋_GB2312" w:hAnsi="Times New Roman" w:eastAsia="仿宋_GB2312" w:cs="Times New Roman"/>
          <w:b w:val="0"/>
          <w:bCs w:val="0"/>
          <w:color w:val="auto"/>
          <w:kern w:val="2"/>
          <w:sz w:val="32"/>
          <w:szCs w:val="32"/>
          <w:highlight w:val="none"/>
          <w:u w:val="none"/>
          <w:lang w:val="en-US" w:eastAsia="zh-CN" w:bidi="ar-SA"/>
        </w:rPr>
        <w:t>住建主管部门有权要求提供包括但不限于工程款已拨付到达班组、材料供应商等进一步证明预售资金用于项目工程建设的相关材料。</w:t>
      </w:r>
    </w:p>
    <w:p w14:paraId="2FFE41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（三）资金拨付。</w:t>
      </w:r>
      <w:r>
        <w:rPr>
          <w:rFonts w:hint="eastAsia" w:ascii="仿宋_GB2312" w:eastAsia="仿宋_GB2312"/>
          <w:color w:val="auto"/>
          <w:sz w:val="32"/>
          <w:szCs w:val="32"/>
          <w:highlight w:val="none"/>
          <w:u w:val="none"/>
        </w:rPr>
        <w:t>住建主管部门受理申请后3个工作日内完成审核，对符合拨付条件的，经住建主管部门同意，监管银行及时拨付；对不符合拨付条件的，予以退回。</w:t>
      </w:r>
    </w:p>
    <w:p w14:paraId="31D74B20">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黑体" w:hAnsi="黑体" w:eastAsia="黑体" w:cs="宋体"/>
          <w:color w:val="auto"/>
          <w:kern w:val="0"/>
          <w:sz w:val="32"/>
          <w:szCs w:val="32"/>
          <w:highlight w:val="none"/>
          <w:u w:val="none"/>
        </w:rPr>
      </w:pPr>
      <w:r>
        <w:rPr>
          <w:rFonts w:hint="eastAsia" w:ascii="黑体" w:hAnsi="黑体" w:eastAsia="黑体"/>
          <w:color w:val="auto"/>
          <w:sz w:val="32"/>
          <w:szCs w:val="32"/>
          <w:highlight w:val="none"/>
          <w:u w:val="none"/>
        </w:rPr>
        <w:t>四、一般监管资金拨付操作程序</w:t>
      </w:r>
    </w:p>
    <w:p w14:paraId="173E765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olor w:val="auto"/>
          <w:sz w:val="32"/>
          <w:szCs w:val="32"/>
          <w:highlight w:val="none"/>
          <w:u w:val="none"/>
        </w:rPr>
      </w:pPr>
      <w:r>
        <w:rPr>
          <w:rFonts w:hint="eastAsia" w:ascii="仿宋_GB2312" w:eastAsia="仿宋_GB2312"/>
          <w:b/>
          <w:color w:val="auto"/>
          <w:sz w:val="32"/>
          <w:szCs w:val="32"/>
          <w:highlight w:val="none"/>
          <w:u w:val="none"/>
        </w:rPr>
        <w:t>（一）提交申请。</w:t>
      </w:r>
      <w:r>
        <w:rPr>
          <w:rFonts w:hint="eastAsia" w:ascii="仿宋_GB2312" w:eastAsia="仿宋_GB2312"/>
          <w:color w:val="auto"/>
          <w:sz w:val="32"/>
          <w:szCs w:val="32"/>
          <w:highlight w:val="none"/>
          <w:u w:val="none"/>
        </w:rPr>
        <w:t>开发企业提交申请表，或登录预售资金监管系统，填写提交申请事项。</w:t>
      </w:r>
    </w:p>
    <w:p w14:paraId="0B3CFFA6">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（二）要件提交。</w:t>
      </w:r>
      <w:r>
        <w:rPr>
          <w:rFonts w:hint="eastAsia" w:ascii="仿宋_GB2312" w:eastAsia="仿宋_GB2312"/>
          <w:color w:val="auto"/>
          <w:sz w:val="32"/>
          <w:szCs w:val="32"/>
          <w:highlight w:val="none"/>
          <w:u w:val="none"/>
        </w:rPr>
        <w:t>无拖欠工程款和农民工工资证明。</w:t>
      </w:r>
    </w:p>
    <w:p w14:paraId="40ADA22D">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（三）资金拨付。</w:t>
      </w:r>
      <w:r>
        <w:rPr>
          <w:rFonts w:hint="eastAsia" w:ascii="仿宋_GB2312" w:eastAsia="仿宋_GB2312"/>
          <w:color w:val="auto"/>
          <w:sz w:val="32"/>
          <w:szCs w:val="32"/>
          <w:highlight w:val="none"/>
          <w:u w:val="none"/>
        </w:rPr>
        <w:t>对符合拨付条件经住建主管部门审批同意的，监管银行及时拨付到开发企业的基本户；对不符合拨付条件的，予以退回。</w:t>
      </w:r>
    </w:p>
    <w:p w14:paraId="719D08E5">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color w:val="auto"/>
          <w:sz w:val="32"/>
          <w:szCs w:val="32"/>
          <w:highlight w:val="none"/>
          <w:u w:val="none"/>
        </w:rPr>
      </w:pPr>
      <w:r>
        <w:rPr>
          <w:rFonts w:hint="eastAsia" w:ascii="仿宋_GB2312" w:eastAsia="仿宋_GB2312"/>
          <w:color w:val="auto"/>
          <w:sz w:val="32"/>
          <w:szCs w:val="32"/>
          <w:highlight w:val="none"/>
          <w:u w:val="none"/>
        </w:rPr>
        <w:t xml:space="preserve">    </w:t>
      </w:r>
      <w:r>
        <w:rPr>
          <w:rFonts w:hint="eastAsia" w:ascii="黑体" w:hAnsi="黑体" w:eastAsia="黑体"/>
          <w:color w:val="auto"/>
          <w:sz w:val="32"/>
          <w:szCs w:val="32"/>
          <w:highlight w:val="none"/>
          <w:u w:val="none"/>
        </w:rPr>
        <w:t>五、</w:t>
      </w:r>
      <w:r>
        <w:rPr>
          <w:rFonts w:ascii="黑体" w:hAnsi="黑体" w:eastAsia="黑体"/>
          <w:color w:val="auto"/>
          <w:sz w:val="32"/>
          <w:szCs w:val="32"/>
          <w:highlight w:val="none"/>
          <w:u w:val="none"/>
        </w:rPr>
        <w:t>保函置换预售监管资金</w:t>
      </w:r>
      <w:r>
        <w:rPr>
          <w:rFonts w:hint="eastAsia" w:ascii="黑体" w:hAnsi="黑体" w:eastAsia="黑体"/>
          <w:color w:val="auto"/>
          <w:sz w:val="32"/>
          <w:szCs w:val="32"/>
          <w:highlight w:val="none"/>
          <w:u w:val="none"/>
        </w:rPr>
        <w:t>操作程序</w:t>
      </w:r>
    </w:p>
    <w:p w14:paraId="25191DF1">
      <w:pPr>
        <w:pStyle w:val="1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leftChars="0" w:right="0" w:rightChars="0" w:firstLine="602" w:firstLineChars="200"/>
        <w:textAlignment w:val="auto"/>
        <w:rPr>
          <w:rFonts w:eastAsia="楷体"/>
          <w:b w:val="0"/>
          <w:bCs w:val="0"/>
          <w:i w:val="0"/>
          <w:iCs w:val="0"/>
          <w:color w:val="auto"/>
          <w:sz w:val="32"/>
          <w:szCs w:val="32"/>
          <w:highlight w:val="none"/>
          <w:u w:val="none"/>
        </w:rPr>
      </w:pPr>
      <w:r>
        <w:rPr>
          <w:rFonts w:ascii="楷体" w:hAnsi="楷体" w:eastAsia="楷体"/>
          <w:b/>
          <w:bCs/>
          <w:color w:val="auto"/>
          <w:sz w:val="32"/>
          <w:szCs w:val="32"/>
          <w:highlight w:val="none"/>
          <w:u w:val="none"/>
        </w:rPr>
        <w:t>（</w:t>
      </w:r>
      <w:r>
        <w:rPr>
          <w:rFonts w:hint="eastAsia" w:ascii="楷体" w:hAnsi="楷体" w:eastAsia="楷体"/>
          <w:b/>
          <w:bCs/>
          <w:color w:val="auto"/>
          <w:sz w:val="32"/>
          <w:szCs w:val="32"/>
          <w:highlight w:val="none"/>
          <w:u w:val="none"/>
        </w:rPr>
        <w:t>一</w:t>
      </w:r>
      <w:r>
        <w:rPr>
          <w:rFonts w:ascii="楷体" w:hAnsi="楷体" w:eastAsia="楷体"/>
          <w:b/>
          <w:bCs/>
          <w:color w:val="auto"/>
          <w:sz w:val="32"/>
          <w:szCs w:val="32"/>
          <w:highlight w:val="none"/>
          <w:u w:val="none"/>
        </w:rPr>
        <w:t>）提交申请。</w:t>
      </w:r>
      <w:r>
        <w:rPr>
          <w:rFonts w:ascii="仿宋_GB2312" w:eastAsia="仿宋_GB2312"/>
          <w:b w:val="0"/>
          <w:bCs w:val="0"/>
          <w:i w:val="0"/>
          <w:iCs w:val="0"/>
          <w:color w:val="auto"/>
          <w:sz w:val="32"/>
          <w:szCs w:val="32"/>
          <w:highlight w:val="none"/>
          <w:u w:val="none"/>
        </w:rPr>
        <w:t>开发企业提交申请表，或登录预售资金监管系统，填写提交申请事项。</w:t>
      </w:r>
    </w:p>
    <w:p w14:paraId="4A4B1055">
      <w:pPr>
        <w:pStyle w:val="1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leftChars="0" w:right="0" w:rightChars="0" w:firstLine="602" w:firstLineChars="200"/>
        <w:textAlignment w:val="auto"/>
        <w:rPr>
          <w:rFonts w:eastAsia="楷体"/>
          <w:b/>
          <w:bCs/>
          <w:color w:val="auto"/>
          <w:sz w:val="32"/>
          <w:szCs w:val="32"/>
          <w:highlight w:val="none"/>
          <w:u w:val="none"/>
        </w:rPr>
      </w:pPr>
      <w:r>
        <w:rPr>
          <w:rFonts w:ascii="楷体" w:hAnsi="楷体" w:eastAsia="楷体"/>
          <w:b/>
          <w:bCs/>
          <w:color w:val="auto"/>
          <w:sz w:val="32"/>
          <w:szCs w:val="32"/>
          <w:highlight w:val="none"/>
          <w:u w:val="none"/>
        </w:rPr>
        <w:t>（</w:t>
      </w:r>
      <w:r>
        <w:rPr>
          <w:rFonts w:hint="eastAsia" w:ascii="楷体" w:hAnsi="楷体" w:eastAsia="楷体"/>
          <w:b/>
          <w:bCs/>
          <w:color w:val="auto"/>
          <w:sz w:val="32"/>
          <w:szCs w:val="32"/>
          <w:highlight w:val="none"/>
          <w:u w:val="none"/>
        </w:rPr>
        <w:t>二</w:t>
      </w:r>
      <w:r>
        <w:rPr>
          <w:rFonts w:ascii="楷体" w:hAnsi="楷体" w:eastAsia="楷体"/>
          <w:b/>
          <w:bCs/>
          <w:color w:val="auto"/>
          <w:sz w:val="32"/>
          <w:szCs w:val="32"/>
          <w:highlight w:val="none"/>
          <w:u w:val="none"/>
        </w:rPr>
        <w:t>）要件提交。</w:t>
      </w:r>
    </w:p>
    <w:p w14:paraId="21C31592">
      <w:pPr>
        <w:pStyle w:val="1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leftChars="0" w:right="0" w:rightChars="0" w:firstLine="602" w:firstLineChars="200"/>
        <w:textAlignment w:val="auto"/>
        <w:rPr>
          <w:rFonts w:eastAsia="仿宋_GB2312"/>
          <w:b w:val="0"/>
          <w:bCs w:val="0"/>
          <w:i w:val="0"/>
          <w:iCs w:val="0"/>
          <w:color w:val="auto"/>
          <w:sz w:val="32"/>
          <w:szCs w:val="32"/>
          <w:highlight w:val="none"/>
          <w:u w:val="none"/>
        </w:rPr>
      </w:pPr>
      <w:r>
        <w:rPr>
          <w:rFonts w:eastAsia="仿宋_GB2312"/>
          <w:b w:val="0"/>
          <w:bCs w:val="0"/>
          <w:i w:val="0"/>
          <w:iCs w:val="0"/>
          <w:color w:val="auto"/>
          <w:sz w:val="32"/>
          <w:szCs w:val="32"/>
          <w:highlight w:val="none"/>
          <w:u w:val="none"/>
        </w:rPr>
        <w:t>1.</w:t>
      </w:r>
      <w:r>
        <w:rPr>
          <w:rFonts w:ascii="仿宋_GB2312" w:eastAsia="仿宋_GB2312"/>
          <w:b w:val="0"/>
          <w:bCs w:val="0"/>
          <w:i w:val="0"/>
          <w:iCs w:val="0"/>
          <w:color w:val="auto"/>
          <w:sz w:val="32"/>
          <w:szCs w:val="32"/>
          <w:highlight w:val="none"/>
          <w:u w:val="none"/>
        </w:rPr>
        <w:t>商业银行出具的保函（原件）。</w:t>
      </w:r>
    </w:p>
    <w:p w14:paraId="057AD502">
      <w:pPr>
        <w:pStyle w:val="1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leftChars="0" w:right="0" w:rightChars="0" w:firstLine="602" w:firstLineChars="200"/>
        <w:textAlignment w:val="auto"/>
        <w:rPr>
          <w:rFonts w:eastAsia="仿宋_GB2312"/>
          <w:b w:val="0"/>
          <w:bCs w:val="0"/>
          <w:i w:val="0"/>
          <w:iCs w:val="0"/>
          <w:color w:val="auto"/>
          <w:sz w:val="32"/>
          <w:szCs w:val="32"/>
          <w:highlight w:val="none"/>
          <w:u w:val="none"/>
        </w:rPr>
      </w:pPr>
      <w:r>
        <w:rPr>
          <w:rFonts w:eastAsia="仿宋_GB2312"/>
          <w:b w:val="0"/>
          <w:bCs w:val="0"/>
          <w:i w:val="0"/>
          <w:iCs w:val="0"/>
          <w:color w:val="auto"/>
          <w:sz w:val="32"/>
          <w:szCs w:val="32"/>
          <w:highlight w:val="none"/>
          <w:u w:val="none"/>
        </w:rPr>
        <w:t>2.</w:t>
      </w:r>
      <w:r>
        <w:rPr>
          <w:rFonts w:ascii="仿宋_GB2312" w:eastAsia="仿宋_GB2312"/>
          <w:b w:val="0"/>
          <w:bCs w:val="0"/>
          <w:i w:val="0"/>
          <w:iCs w:val="0"/>
          <w:color w:val="auto"/>
          <w:sz w:val="32"/>
          <w:szCs w:val="32"/>
          <w:highlight w:val="none"/>
          <w:u w:val="none"/>
        </w:rPr>
        <w:t>开发企业及保函出具银行联名的具结书，保证保函的出具符合《关于商业银行出具保函置换预售监管资金有关工作的通知》（银保监办发〔</w:t>
      </w:r>
      <w:r>
        <w:rPr>
          <w:rFonts w:eastAsia="仿宋_GB2312"/>
          <w:b w:val="0"/>
          <w:bCs w:val="0"/>
          <w:i w:val="0"/>
          <w:iCs w:val="0"/>
          <w:color w:val="auto"/>
          <w:sz w:val="32"/>
          <w:szCs w:val="32"/>
          <w:highlight w:val="none"/>
          <w:u w:val="none"/>
        </w:rPr>
        <w:t>2022</w:t>
      </w:r>
      <w:r>
        <w:rPr>
          <w:rFonts w:ascii="仿宋_GB2312" w:eastAsia="仿宋_GB2312"/>
          <w:b w:val="0"/>
          <w:bCs w:val="0"/>
          <w:i w:val="0"/>
          <w:iCs w:val="0"/>
          <w:color w:val="auto"/>
          <w:sz w:val="32"/>
          <w:szCs w:val="32"/>
          <w:highlight w:val="none"/>
          <w:u w:val="none"/>
        </w:rPr>
        <w:t>〕</w:t>
      </w:r>
      <w:r>
        <w:rPr>
          <w:rFonts w:eastAsia="仿宋_GB2312"/>
          <w:b w:val="0"/>
          <w:bCs w:val="0"/>
          <w:i w:val="0"/>
          <w:iCs w:val="0"/>
          <w:color w:val="auto"/>
          <w:sz w:val="32"/>
          <w:szCs w:val="32"/>
          <w:highlight w:val="none"/>
          <w:u w:val="none"/>
        </w:rPr>
        <w:t>104</w:t>
      </w:r>
      <w:r>
        <w:rPr>
          <w:rFonts w:ascii="仿宋_GB2312" w:eastAsia="仿宋_GB2312"/>
          <w:b w:val="0"/>
          <w:bCs w:val="0"/>
          <w:i w:val="0"/>
          <w:iCs w:val="0"/>
          <w:color w:val="auto"/>
          <w:sz w:val="32"/>
          <w:szCs w:val="32"/>
          <w:highlight w:val="none"/>
          <w:u w:val="none"/>
        </w:rPr>
        <w:t>号）规定。</w:t>
      </w:r>
    </w:p>
    <w:p w14:paraId="06B1FA7A">
      <w:pPr>
        <w:pStyle w:val="1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leftChars="0" w:right="0" w:rightChars="0" w:firstLine="602" w:firstLineChars="200"/>
        <w:textAlignment w:val="auto"/>
        <w:rPr>
          <w:rFonts w:eastAsia="仿宋_GB2312"/>
          <w:b w:val="0"/>
          <w:bCs w:val="0"/>
          <w:i w:val="0"/>
          <w:iCs w:val="0"/>
          <w:color w:val="auto"/>
          <w:sz w:val="32"/>
          <w:szCs w:val="32"/>
          <w:highlight w:val="none"/>
          <w:u w:val="none"/>
        </w:rPr>
      </w:pPr>
      <w:r>
        <w:rPr>
          <w:rFonts w:eastAsia="仿宋_GB2312"/>
          <w:b w:val="0"/>
          <w:bCs w:val="0"/>
          <w:i w:val="0"/>
          <w:iCs w:val="0"/>
          <w:color w:val="auto"/>
          <w:sz w:val="32"/>
          <w:szCs w:val="32"/>
          <w:highlight w:val="none"/>
          <w:u w:val="none"/>
        </w:rPr>
        <w:t>3.</w:t>
      </w:r>
      <w:r>
        <w:rPr>
          <w:rFonts w:hint="eastAsia" w:ascii="仿宋_GB2312" w:eastAsia="仿宋_GB2312"/>
          <w:b w:val="0"/>
          <w:bCs w:val="0"/>
          <w:i w:val="0"/>
          <w:iCs w:val="0"/>
          <w:color w:val="auto"/>
          <w:sz w:val="32"/>
          <w:szCs w:val="32"/>
          <w:highlight w:val="none"/>
          <w:u w:val="none"/>
        </w:rPr>
        <w:t xml:space="preserve"> 无拖欠工程款和农民工工资证明。</w:t>
      </w:r>
    </w:p>
    <w:p w14:paraId="4B6EF880">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b w:val="0"/>
          <w:bCs w:val="0"/>
          <w:color w:val="auto"/>
          <w:sz w:val="32"/>
          <w:szCs w:val="32"/>
          <w:highlight w:val="none"/>
          <w:u w:val="none"/>
        </w:rPr>
      </w:pPr>
      <w:r>
        <w:rPr>
          <w:rFonts w:ascii="楷体" w:hAnsi="楷体" w:eastAsia="楷体"/>
          <w:b/>
          <w:bCs/>
          <w:color w:val="auto"/>
          <w:sz w:val="32"/>
          <w:szCs w:val="32"/>
          <w:highlight w:val="none"/>
          <w:u w:val="none"/>
        </w:rPr>
        <w:t>（</w:t>
      </w:r>
      <w:r>
        <w:rPr>
          <w:rFonts w:hint="eastAsia" w:ascii="楷体" w:hAnsi="楷体" w:eastAsia="楷体"/>
          <w:b/>
          <w:bCs/>
          <w:color w:val="auto"/>
          <w:sz w:val="32"/>
          <w:szCs w:val="32"/>
          <w:highlight w:val="none"/>
          <w:u w:val="none"/>
        </w:rPr>
        <w:t>三</w:t>
      </w:r>
      <w:r>
        <w:rPr>
          <w:rFonts w:ascii="楷体" w:hAnsi="楷体" w:eastAsia="楷体"/>
          <w:b/>
          <w:bCs/>
          <w:color w:val="auto"/>
          <w:sz w:val="32"/>
          <w:szCs w:val="32"/>
          <w:highlight w:val="none"/>
          <w:u w:val="none"/>
        </w:rPr>
        <w:t>）资金拨付。</w:t>
      </w:r>
      <w:r>
        <w:rPr>
          <w:rFonts w:ascii="仿宋_GB2312" w:eastAsia="仿宋_GB2312"/>
          <w:b w:val="0"/>
          <w:bCs w:val="0"/>
          <w:color w:val="auto"/>
          <w:sz w:val="32"/>
          <w:szCs w:val="32"/>
          <w:highlight w:val="none"/>
          <w:u w:val="none"/>
        </w:rPr>
        <w:t>主</w:t>
      </w:r>
      <w:r>
        <w:rPr>
          <w:rFonts w:hint="eastAsia" w:ascii="仿宋_GB2312" w:eastAsia="仿宋_GB2312"/>
          <w:b w:val="0"/>
          <w:bCs w:val="0"/>
          <w:color w:val="auto"/>
          <w:sz w:val="32"/>
          <w:szCs w:val="32"/>
          <w:highlight w:val="none"/>
          <w:u w:val="none"/>
        </w:rPr>
        <w:t>对符合拨付条件经住建主管部门审批同意的，监管银行及时拨付到开发企业的基本户；对不符合拨付条件的，予以退回。</w:t>
      </w:r>
    </w:p>
    <w:p w14:paraId="27A237E3">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黑体" w:hAnsi="黑体" w:eastAsia="黑体" w:cs="宋体"/>
          <w:color w:val="auto"/>
          <w:sz w:val="32"/>
          <w:szCs w:val="32"/>
          <w:highlight w:val="none"/>
          <w:u w:val="none"/>
        </w:rPr>
      </w:pPr>
      <w:r>
        <w:rPr>
          <w:rFonts w:hint="eastAsia" w:ascii="黑体" w:hAnsi="黑体" w:eastAsia="黑体"/>
          <w:color w:val="auto"/>
          <w:sz w:val="32"/>
          <w:szCs w:val="32"/>
          <w:highlight w:val="none"/>
          <w:u w:val="none"/>
        </w:rPr>
        <w:t>六、预售资金监管解除操作程序</w:t>
      </w:r>
    </w:p>
    <w:p w14:paraId="1C2CE202">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kern w:val="0"/>
          <w:sz w:val="32"/>
          <w:szCs w:val="32"/>
          <w:highlight w:val="none"/>
          <w:u w:val="none"/>
        </w:rPr>
      </w:pPr>
      <w:r>
        <w:rPr>
          <w:rFonts w:hint="eastAsia" w:ascii="仿宋_GB2312" w:eastAsia="仿宋_GB2312"/>
          <w:b/>
          <w:color w:val="auto"/>
          <w:sz w:val="32"/>
          <w:szCs w:val="32"/>
          <w:highlight w:val="none"/>
          <w:u w:val="none"/>
        </w:rPr>
        <w:t>（一）提交申请。</w:t>
      </w:r>
      <w:r>
        <w:rPr>
          <w:rFonts w:hint="eastAsia" w:ascii="仿宋_GB2312" w:eastAsia="仿宋_GB2312"/>
          <w:color w:val="auto"/>
          <w:sz w:val="32"/>
          <w:szCs w:val="32"/>
          <w:highlight w:val="none"/>
          <w:u w:val="none"/>
        </w:rPr>
        <w:t>开发企业提交申请表，或登录预售资金监管系统，填写提交申请事项。</w:t>
      </w:r>
    </w:p>
    <w:p w14:paraId="6850E051">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b/>
          <w:color w:val="auto"/>
          <w:sz w:val="32"/>
          <w:szCs w:val="32"/>
          <w:highlight w:val="none"/>
          <w:u w:val="none"/>
        </w:rPr>
      </w:pPr>
      <w:r>
        <w:rPr>
          <w:rFonts w:hint="eastAsia" w:ascii="仿宋_GB2312" w:eastAsia="仿宋_GB2312"/>
          <w:b/>
          <w:color w:val="auto"/>
          <w:sz w:val="32"/>
          <w:szCs w:val="32"/>
          <w:highlight w:val="none"/>
          <w:u w:val="none"/>
        </w:rPr>
        <w:t>（二）要件提交：</w:t>
      </w:r>
    </w:p>
    <w:p w14:paraId="345ED413">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1.施工企业出具的无拖欠工程款证明；</w:t>
      </w:r>
    </w:p>
    <w:p w14:paraId="0C849255">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2.住宅专项维修资金缴交情况确认单；</w:t>
      </w:r>
    </w:p>
    <w:p w14:paraId="65FA3BD2">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highlight w:val="none"/>
        </w:rPr>
      </w:pPr>
      <w:r>
        <w:rPr>
          <w:rFonts w:hint="eastAsia" w:ascii="仿宋_GB2312" w:eastAsia="仿宋_GB2312"/>
          <w:color w:val="auto"/>
          <w:sz w:val="32"/>
          <w:szCs w:val="32"/>
          <w:highlight w:val="none"/>
          <w:u w:val="none"/>
        </w:rPr>
        <w:t>3.建设工程竣工备案证明，</w:t>
      </w:r>
      <w:r>
        <w:rPr>
          <w:rFonts w:hint="eastAsia" w:ascii="仿宋_GB2312" w:hAnsi="Times New Roman" w:eastAsia="仿宋_GB2312" w:cs="Times New Roman"/>
          <w:color w:val="auto"/>
          <w:sz w:val="32"/>
          <w:szCs w:val="32"/>
          <w:highlight w:val="none"/>
          <w:u w:val="none"/>
          <w:lang w:val="en-US" w:eastAsia="zh-CN"/>
        </w:rPr>
        <w:t>全装修项目还需提供装修竣工验收备案证明。</w:t>
      </w:r>
    </w:p>
    <w:p w14:paraId="0E79F3E6">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highlight w:val="none"/>
          <w:lang w:eastAsia="zh-CN"/>
        </w:rPr>
      </w:pPr>
      <w:r>
        <w:rPr>
          <w:rFonts w:hint="eastAsia" w:ascii="仿宋_GB2312" w:hAnsi="Times New Roman" w:eastAsia="仿宋_GB2312" w:cs="Times New Roman"/>
          <w:color w:val="auto"/>
          <w:sz w:val="32"/>
          <w:szCs w:val="32"/>
          <w:highlight w:val="none"/>
          <w:u w:val="none"/>
        </w:rPr>
        <w:t>4.项目不动产首次登记证明</w:t>
      </w:r>
      <w:r>
        <w:rPr>
          <w:rFonts w:hint="eastAsia" w:ascii="仿宋_GB2312" w:hAnsi="Times New Roman" w:eastAsia="仿宋_GB2312" w:cs="Times New Roman"/>
          <w:color w:val="auto"/>
          <w:sz w:val="32"/>
          <w:szCs w:val="32"/>
          <w:highlight w:val="none"/>
          <w:u w:val="none"/>
          <w:lang w:eastAsia="zh-CN"/>
        </w:rPr>
        <w:t>；</w:t>
      </w:r>
    </w:p>
    <w:p w14:paraId="0ACDF88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Times New Roman" w:eastAsia="仿宋_GB2312" w:cs="Times New Roman"/>
          <w:b w:val="0"/>
          <w:bCs w:val="0"/>
          <w:color w:val="auto"/>
          <w:sz w:val="32"/>
          <w:szCs w:val="32"/>
          <w:highlight w:val="none"/>
          <w:u w:val="none"/>
          <w:lang w:val="en-US" w:eastAsia="zh-CN"/>
        </w:rPr>
      </w:pPr>
      <w:r>
        <w:rPr>
          <w:rFonts w:hint="eastAsia" w:ascii="仿宋_GB2312" w:hAnsi="Times New Roman" w:eastAsia="仿宋_GB2312" w:cs="Times New Roman"/>
          <w:b w:val="0"/>
          <w:bCs w:val="0"/>
          <w:color w:val="auto"/>
          <w:sz w:val="32"/>
          <w:szCs w:val="32"/>
          <w:highlight w:val="none"/>
          <w:u w:val="none"/>
          <w:lang w:val="en-US" w:eastAsia="zh-CN"/>
        </w:rPr>
        <w:t>5.为解决历史遗留问题，保障购房业主权益，住建主管部门要求提供的其他资料。</w:t>
      </w:r>
    </w:p>
    <w:p w14:paraId="49B42130">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仿宋" w:eastAsia="仿宋_GB2312"/>
          <w:color w:val="auto"/>
          <w:sz w:val="32"/>
          <w:szCs w:val="32"/>
          <w:highlight w:val="none"/>
          <w:u w:val="none"/>
        </w:rPr>
      </w:pPr>
      <w:r>
        <w:rPr>
          <w:rFonts w:hint="eastAsia" w:ascii="仿宋_GB2312" w:eastAsia="仿宋_GB2312"/>
          <w:b/>
          <w:color w:val="auto"/>
          <w:sz w:val="32"/>
          <w:szCs w:val="32"/>
          <w:highlight w:val="none"/>
          <w:u w:val="none"/>
        </w:rPr>
        <w:t>（三）</w:t>
      </w:r>
      <w:r>
        <w:rPr>
          <w:rFonts w:hint="eastAsia" w:ascii="仿宋_GB2312" w:eastAsia="仿宋_GB2312"/>
          <w:color w:val="auto"/>
          <w:sz w:val="32"/>
          <w:szCs w:val="32"/>
          <w:highlight w:val="none"/>
          <w:u w:val="none"/>
        </w:rPr>
        <w:t>住建主管部门受理申请后3个工作日内完成审核，对符合条件的，予以解除监管并出具监管意见；对不符合条件的，予以退回。</w:t>
      </w:r>
    </w:p>
    <w:p w14:paraId="31043CFB">
      <w:pPr>
        <w:keepNext w:val="0"/>
        <w:keepLines w:val="0"/>
        <w:pageBreakBefore w:val="0"/>
        <w:kinsoku/>
        <w:wordWrap/>
        <w:overflowPunct/>
        <w:topLinePunct w:val="0"/>
        <w:autoSpaceDN/>
        <w:bidi w:val="0"/>
        <w:spacing w:line="240" w:lineRule="auto"/>
        <w:ind w:right="97" w:rightChars="51" w:firstLine="681" w:firstLineChars="226"/>
        <w:textAlignment w:val="auto"/>
        <w:rPr>
          <w:rFonts w:hint="eastAsia" w:ascii="仿宋_GB2312" w:hAnsi="仿宋" w:eastAsia="仿宋_GB2312"/>
          <w:color w:val="auto"/>
          <w:sz w:val="28"/>
          <w:szCs w:val="28"/>
          <w:highlight w:val="none"/>
          <w:u w:val="none"/>
        </w:rPr>
      </w:pPr>
      <w:r>
        <w:rPr>
          <w:rFonts w:hint="eastAsia" w:ascii="仿宋_GB2312" w:hAnsi="仿宋" w:eastAsia="仿宋_GB2312"/>
          <w:color w:val="auto"/>
          <w:sz w:val="32"/>
          <w:szCs w:val="32"/>
          <w:highlight w:val="none"/>
          <w:u w:val="none"/>
        </w:rPr>
        <w:t>（此件主动公开）</w:t>
      </w:r>
    </w:p>
    <w:p w14:paraId="601C366A">
      <w:pPr>
        <w:keepNext w:val="0"/>
        <w:keepLines w:val="0"/>
        <w:pageBreakBefore w:val="0"/>
        <w:kinsoku/>
        <w:wordWrap/>
        <w:overflowPunct/>
        <w:topLinePunct w:val="0"/>
        <w:autoSpaceDN/>
        <w:bidi w:val="0"/>
        <w:spacing w:line="240" w:lineRule="auto"/>
        <w:ind w:right="97" w:rightChars="51" w:firstLine="107" w:firstLineChars="56"/>
        <w:textAlignment w:val="auto"/>
        <w:rPr>
          <w:rFonts w:hint="eastAsia"/>
          <w:color w:val="auto"/>
          <w:highlight w:val="none"/>
          <w:u w:val="none"/>
        </w:rPr>
      </w:pPr>
    </w:p>
    <w:sectPr>
      <w:footerReference r:id="rId3" w:type="default"/>
      <w:footerReference r:id="rId4" w:type="even"/>
      <w:pgSz w:w="11906" w:h="16838"/>
      <w:pgMar w:top="1587" w:right="1701" w:bottom="1587" w:left="1531" w:header="851" w:footer="992" w:gutter="0"/>
      <w:pgNumType w:fmt="numberInDash"/>
      <w:cols w:space="720" w:num="1"/>
      <w:docGrid w:type="linesAndChars" w:linePitch="592" w:charSpace="-40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2010601030101010101"/>
    <w:charset w:val="86"/>
    <w:family w:val="auto"/>
    <w:pitch w:val="default"/>
    <w:sig w:usb0="00000000" w:usb1="0000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B72C">
    <w:pPr>
      <w:pStyle w:val="10"/>
      <w:framePr w:wrap="around" w:vAnchor="text" w:hAnchor="margin" w:xAlign="outside" w:y="1"/>
      <w:rPr>
        <w:rStyle w:val="17"/>
        <w:rFonts w:hint="eastAsia" w:ascii="仿宋_GB2312" w:eastAsia="仿宋_GB2312"/>
        <w:sz w:val="28"/>
        <w:szCs w:val="28"/>
      </w:rPr>
    </w:pPr>
    <w:r>
      <w:rPr>
        <w:rFonts w:hint="eastAsia" w:ascii="仿宋_GB2312" w:eastAsia="仿宋_GB2312"/>
        <w:sz w:val="28"/>
        <w:szCs w:val="28"/>
      </w:rPr>
      <w:fldChar w:fldCharType="begin"/>
    </w:r>
    <w:r>
      <w:rPr>
        <w:rStyle w:val="1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7"/>
        <w:rFonts w:ascii="仿宋_GB2312" w:eastAsia="仿宋_GB2312"/>
        <w:sz w:val="28"/>
        <w:szCs w:val="28"/>
      </w:rPr>
      <w:t>- 8 -</w:t>
    </w:r>
    <w:r>
      <w:rPr>
        <w:rFonts w:hint="eastAsia" w:ascii="仿宋_GB2312" w:eastAsia="仿宋_GB2312"/>
        <w:sz w:val="28"/>
        <w:szCs w:val="28"/>
      </w:rPr>
      <w:fldChar w:fldCharType="end"/>
    </w:r>
  </w:p>
  <w:p w14:paraId="719A0CF8">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1D79">
    <w:pPr>
      <w:pStyle w:val="10"/>
      <w:framePr w:wrap="around" w:vAnchor="text" w:hAnchor="margin" w:xAlign="outside" w:y="1"/>
      <w:rPr>
        <w:rStyle w:val="17"/>
      </w:rPr>
    </w:pPr>
    <w:r>
      <w:fldChar w:fldCharType="begin"/>
    </w:r>
    <w:r>
      <w:rPr>
        <w:rStyle w:val="17"/>
      </w:rPr>
      <w:instrText xml:space="preserve">PAGE  </w:instrText>
    </w:r>
    <w:r>
      <w:fldChar w:fldCharType="end"/>
    </w:r>
  </w:p>
  <w:p w14:paraId="4A82706E">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B63EA"/>
    <w:multiLevelType w:val="multilevel"/>
    <w:tmpl w:val="5A1B63EA"/>
    <w:lvl w:ilvl="0" w:tentative="0">
      <w:start w:val="1"/>
      <w:numFmt w:val="chineseCountingThousand"/>
      <w:suff w:val="space"/>
      <w:lvlText w:val="第%1章"/>
      <w:lvlJc w:val="left"/>
      <w:pPr>
        <w:ind w:left="0" w:firstLine="0"/>
      </w:pPr>
      <w:rPr>
        <w:rFonts w:hint="eastAsia" w:ascii="Times New Roman" w:hAnsi="Times New Roman" w:eastAsia="仿宋_GB2312"/>
        <w:b/>
        <w:i w:val="0"/>
        <w:sz w:val="32"/>
        <w:szCs w:val="32"/>
      </w:rPr>
    </w:lvl>
    <w:lvl w:ilvl="1" w:tentative="0">
      <w:start w:val="1"/>
      <w:numFmt w:val="chineseCountingThousand"/>
      <w:suff w:val="space"/>
      <w:lvlText w:val="第%2节"/>
      <w:lvlJc w:val="left"/>
      <w:pPr>
        <w:ind w:left="360" w:firstLine="0"/>
      </w:pPr>
      <w:rPr>
        <w:rFonts w:hint="eastAsia" w:ascii="Times New Roman" w:hAnsi="Times New Roman" w:eastAsia="仿宋_GB2312"/>
        <w:lang w:val="en-US"/>
      </w:rPr>
    </w:lvl>
    <w:lvl w:ilvl="2" w:tentative="0">
      <w:start w:val="1"/>
      <w:numFmt w:val="decimal"/>
      <w:suff w:val="space"/>
      <w:lvlText w:val="%3."/>
      <w:lvlJc w:val="left"/>
      <w:pPr>
        <w:ind w:left="0" w:firstLine="0"/>
      </w:pPr>
      <w:rPr>
        <w:rFonts w:hint="eastAsia"/>
      </w:rPr>
    </w:lvl>
    <w:lvl w:ilvl="3" w:tentative="0">
      <w:start w:val="1"/>
      <w:numFmt w:val="decimal"/>
      <w:isLgl/>
      <w:suff w:val="space"/>
      <w:lvlText w:val="%3.%4"/>
      <w:lvlJc w:val="left"/>
      <w:pPr>
        <w:ind w:left="0" w:firstLine="0"/>
      </w:pPr>
      <w:rPr>
        <w:rFonts w:hint="eastAsia" w:ascii="Times New Roman" w:hAnsi="Times New Roman" w:eastAsia="仿宋_GB2312"/>
        <w:szCs w:val="24"/>
      </w:rPr>
    </w:lvl>
    <w:lvl w:ilvl="4" w:tentative="0">
      <w:start w:val="1"/>
      <w:numFmt w:val="decimal"/>
      <w:pStyle w:val="3"/>
      <w:isLgl/>
      <w:suff w:val="space"/>
      <w:lvlText w:val="%3.%4.%5"/>
      <w:lvlJc w:val="left"/>
      <w:pPr>
        <w:ind w:left="1008" w:hanging="1008"/>
      </w:pPr>
      <w:rPr>
        <w:rFonts w:hint="eastAsia"/>
      </w:rPr>
    </w:lvl>
    <w:lvl w:ilvl="5" w:tentative="0">
      <w:start w:val="1"/>
      <w:numFmt w:val="decimal"/>
      <w:lvlText w:val="%3.%4.%5.%6"/>
      <w:lvlJc w:val="left"/>
      <w:pPr>
        <w:tabs>
          <w:tab w:val="left" w:pos="0"/>
        </w:tabs>
        <w:ind w:left="0" w:firstLine="0"/>
      </w:pPr>
      <w:rPr>
        <w:rFonts w:hint="eastAsia" w:ascii="Times New Roman" w:hAnsi="Times New Roman" w:eastAsia="宋体"/>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2IwMWQxYzhjZDU3NzhkYjEwMTRmMTg2OTY1N2IifQ=="/>
  </w:docVars>
  <w:rsids>
    <w:rsidRoot w:val="00150407"/>
    <w:rsid w:val="00010E9E"/>
    <w:rsid w:val="000134D0"/>
    <w:rsid w:val="00071F05"/>
    <w:rsid w:val="0008758C"/>
    <w:rsid w:val="000E564B"/>
    <w:rsid w:val="00117A1E"/>
    <w:rsid w:val="00150407"/>
    <w:rsid w:val="00163D45"/>
    <w:rsid w:val="00265CF2"/>
    <w:rsid w:val="00266C6C"/>
    <w:rsid w:val="00270CBF"/>
    <w:rsid w:val="002C2DA9"/>
    <w:rsid w:val="002D23A0"/>
    <w:rsid w:val="002D7201"/>
    <w:rsid w:val="002E365F"/>
    <w:rsid w:val="003158FE"/>
    <w:rsid w:val="00340E66"/>
    <w:rsid w:val="00394E4F"/>
    <w:rsid w:val="003D7912"/>
    <w:rsid w:val="00407282"/>
    <w:rsid w:val="00415EC6"/>
    <w:rsid w:val="00416221"/>
    <w:rsid w:val="00426382"/>
    <w:rsid w:val="00430F95"/>
    <w:rsid w:val="00444F58"/>
    <w:rsid w:val="004953E8"/>
    <w:rsid w:val="004F6CBA"/>
    <w:rsid w:val="005136F0"/>
    <w:rsid w:val="005343F6"/>
    <w:rsid w:val="005739E7"/>
    <w:rsid w:val="005D77E2"/>
    <w:rsid w:val="00623215"/>
    <w:rsid w:val="006C4BB3"/>
    <w:rsid w:val="00717345"/>
    <w:rsid w:val="007407E5"/>
    <w:rsid w:val="00750F97"/>
    <w:rsid w:val="00770AA0"/>
    <w:rsid w:val="007744E0"/>
    <w:rsid w:val="0079123D"/>
    <w:rsid w:val="007A3A29"/>
    <w:rsid w:val="007D6EF7"/>
    <w:rsid w:val="008659A0"/>
    <w:rsid w:val="008E0BCE"/>
    <w:rsid w:val="009238BD"/>
    <w:rsid w:val="00931CEC"/>
    <w:rsid w:val="00934EE6"/>
    <w:rsid w:val="00936F55"/>
    <w:rsid w:val="0096082D"/>
    <w:rsid w:val="00973FB8"/>
    <w:rsid w:val="009A7D9F"/>
    <w:rsid w:val="00A05B1C"/>
    <w:rsid w:val="00A329FE"/>
    <w:rsid w:val="00A3474E"/>
    <w:rsid w:val="00AC2437"/>
    <w:rsid w:val="00C415B8"/>
    <w:rsid w:val="00C52F99"/>
    <w:rsid w:val="00C972F0"/>
    <w:rsid w:val="00D1419E"/>
    <w:rsid w:val="00D24CE1"/>
    <w:rsid w:val="00D6251D"/>
    <w:rsid w:val="00D8254A"/>
    <w:rsid w:val="00D97E70"/>
    <w:rsid w:val="00DD68D6"/>
    <w:rsid w:val="00DE4B06"/>
    <w:rsid w:val="00E26F8E"/>
    <w:rsid w:val="00E71231"/>
    <w:rsid w:val="00EE39B1"/>
    <w:rsid w:val="00FE6C48"/>
    <w:rsid w:val="04344A2F"/>
    <w:rsid w:val="05656433"/>
    <w:rsid w:val="09630EDC"/>
    <w:rsid w:val="0BDAB08A"/>
    <w:rsid w:val="0E0B1B42"/>
    <w:rsid w:val="13E67435"/>
    <w:rsid w:val="146E428C"/>
    <w:rsid w:val="14883EEC"/>
    <w:rsid w:val="169EF2CD"/>
    <w:rsid w:val="172F2027"/>
    <w:rsid w:val="196C4BFF"/>
    <w:rsid w:val="1DB21FDA"/>
    <w:rsid w:val="1E6A7B10"/>
    <w:rsid w:val="1ECA5C2F"/>
    <w:rsid w:val="1F7F17CC"/>
    <w:rsid w:val="20A0611A"/>
    <w:rsid w:val="240A66CC"/>
    <w:rsid w:val="247B4909"/>
    <w:rsid w:val="27716A62"/>
    <w:rsid w:val="28160CD5"/>
    <w:rsid w:val="2A4346E5"/>
    <w:rsid w:val="2B40488F"/>
    <w:rsid w:val="2BFA89FE"/>
    <w:rsid w:val="2C186E9C"/>
    <w:rsid w:val="310D77FB"/>
    <w:rsid w:val="31EE13DB"/>
    <w:rsid w:val="331F7372"/>
    <w:rsid w:val="34806C8E"/>
    <w:rsid w:val="365D6B2F"/>
    <w:rsid w:val="36962041"/>
    <w:rsid w:val="36E27034"/>
    <w:rsid w:val="38341B11"/>
    <w:rsid w:val="392C4597"/>
    <w:rsid w:val="3D3303D5"/>
    <w:rsid w:val="3E6730F0"/>
    <w:rsid w:val="3FEF0107"/>
    <w:rsid w:val="4194FE26"/>
    <w:rsid w:val="41BB0BAE"/>
    <w:rsid w:val="42CD2946"/>
    <w:rsid w:val="4431500F"/>
    <w:rsid w:val="45D55762"/>
    <w:rsid w:val="48285F04"/>
    <w:rsid w:val="52D10844"/>
    <w:rsid w:val="534C3D5B"/>
    <w:rsid w:val="54EA382C"/>
    <w:rsid w:val="595158B5"/>
    <w:rsid w:val="5F900AAA"/>
    <w:rsid w:val="5F9D7B6A"/>
    <w:rsid w:val="61321F75"/>
    <w:rsid w:val="63D23E09"/>
    <w:rsid w:val="64153B6B"/>
    <w:rsid w:val="645667E8"/>
    <w:rsid w:val="67654F94"/>
    <w:rsid w:val="677448AC"/>
    <w:rsid w:val="67D37634"/>
    <w:rsid w:val="67FFB4B2"/>
    <w:rsid w:val="6BBC753B"/>
    <w:rsid w:val="6BFFA371"/>
    <w:rsid w:val="6D5C1264"/>
    <w:rsid w:val="6EDD371C"/>
    <w:rsid w:val="6EF8C247"/>
    <w:rsid w:val="707A385E"/>
    <w:rsid w:val="711772FF"/>
    <w:rsid w:val="73AB00B8"/>
    <w:rsid w:val="76FE7D54"/>
    <w:rsid w:val="7B0F7299"/>
    <w:rsid w:val="7B330BD4"/>
    <w:rsid w:val="7E3E411D"/>
    <w:rsid w:val="7F0B3B5E"/>
    <w:rsid w:val="7F2490BB"/>
    <w:rsid w:val="7F5DACE0"/>
    <w:rsid w:val="7F7E0319"/>
    <w:rsid w:val="9EEBA3E5"/>
    <w:rsid w:val="AFDD4DF1"/>
    <w:rsid w:val="D6FF54DB"/>
    <w:rsid w:val="D7C760DB"/>
    <w:rsid w:val="D9FFA9F6"/>
    <w:rsid w:val="DBFF8066"/>
    <w:rsid w:val="E7A6FCC9"/>
    <w:rsid w:val="F57F0F81"/>
    <w:rsid w:val="F5CEFF1F"/>
    <w:rsid w:val="F72E95AF"/>
    <w:rsid w:val="F7FF11CB"/>
    <w:rsid w:val="FD9B87BA"/>
    <w:rsid w:val="FEABBF12"/>
    <w:rsid w:val="FEF76D6E"/>
    <w:rsid w:val="FF3ECD2B"/>
    <w:rsid w:val="FF9952B5"/>
    <w:rsid w:val="FFF385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3">
    <w:name w:val="heading 5"/>
    <w:basedOn w:val="1"/>
    <w:next w:val="1"/>
    <w:qFormat/>
    <w:uiPriority w:val="0"/>
    <w:pPr>
      <w:keepNext/>
      <w:keepLines/>
      <w:numPr>
        <w:ilvl w:val="4"/>
        <w:numId w:val="1"/>
      </w:numPr>
      <w:spacing w:before="280" w:after="290" w:line="372" w:lineRule="auto"/>
      <w:outlineLvl w:val="4"/>
    </w:pPr>
    <w:rPr>
      <w:rFonts w:ascii="Times New Roman" w:hAnsi="Times New Roman" w:eastAsia="仿宋_GB2312" w:cs="Times New Roman"/>
      <w:b/>
      <w:sz w:val="28"/>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6">
    <w:name w:val="annotation text"/>
    <w:basedOn w:val="1"/>
    <w:link w:val="22"/>
    <w:qFormat/>
    <w:uiPriority w:val="0"/>
    <w:pPr>
      <w:jc w:val="left"/>
    </w:pPr>
  </w:style>
  <w:style w:type="paragraph" w:styleId="7">
    <w:name w:val="Body Text Indent"/>
    <w:basedOn w:val="1"/>
    <w:next w:val="8"/>
    <w:link w:val="23"/>
    <w:qFormat/>
    <w:uiPriority w:val="0"/>
    <w:pPr>
      <w:spacing w:after="120"/>
      <w:ind w:left="420" w:leftChars="200"/>
    </w:p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Balloon Text"/>
    <w:basedOn w:val="1"/>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6"/>
    <w:next w:val="6"/>
    <w:link w:val="25"/>
    <w:qFormat/>
    <w:uiPriority w:val="0"/>
    <w:rPr>
      <w:b/>
      <w:bCs/>
    </w:rPr>
  </w:style>
  <w:style w:type="paragraph" w:styleId="14">
    <w:name w:val="Body Text First Indent 2"/>
    <w:basedOn w:val="7"/>
    <w:link w:val="26"/>
    <w:qFormat/>
    <w:uiPriority w:val="0"/>
    <w:pPr>
      <w:ind w:firstLine="420" w:firstLineChars="200"/>
    </w:pPr>
  </w:style>
  <w:style w:type="character" w:styleId="17">
    <w:name w:val="page number"/>
    <w:basedOn w:val="16"/>
    <w:qFormat/>
    <w:uiPriority w:val="0"/>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character" w:styleId="20">
    <w:name w:val="annotation reference"/>
    <w:basedOn w:val="16"/>
    <w:qFormat/>
    <w:uiPriority w:val="0"/>
    <w:rPr>
      <w:sz w:val="21"/>
      <w:szCs w:val="21"/>
    </w:rPr>
  </w:style>
  <w:style w:type="character" w:customStyle="1" w:styleId="21">
    <w:name w:val="标题 1 Char"/>
    <w:basedOn w:val="16"/>
    <w:link w:val="4"/>
    <w:qFormat/>
    <w:uiPriority w:val="9"/>
    <w:rPr>
      <w:rFonts w:ascii="宋体" w:hAnsi="宋体" w:cs="宋体"/>
      <w:b/>
      <w:bCs/>
      <w:kern w:val="36"/>
      <w:sz w:val="48"/>
      <w:szCs w:val="48"/>
    </w:rPr>
  </w:style>
  <w:style w:type="character" w:customStyle="1" w:styleId="22">
    <w:name w:val="批注文字 Char"/>
    <w:basedOn w:val="16"/>
    <w:link w:val="6"/>
    <w:qFormat/>
    <w:uiPriority w:val="0"/>
    <w:rPr>
      <w:kern w:val="2"/>
      <w:sz w:val="21"/>
      <w:szCs w:val="24"/>
    </w:rPr>
  </w:style>
  <w:style w:type="character" w:customStyle="1" w:styleId="23">
    <w:name w:val="正文文本缩进 Char"/>
    <w:basedOn w:val="16"/>
    <w:link w:val="7"/>
    <w:qFormat/>
    <w:uiPriority w:val="0"/>
    <w:rPr>
      <w:kern w:val="2"/>
      <w:sz w:val="21"/>
      <w:szCs w:val="24"/>
    </w:rPr>
  </w:style>
  <w:style w:type="character" w:customStyle="1" w:styleId="24">
    <w:name w:val="页眉 Char"/>
    <w:basedOn w:val="16"/>
    <w:link w:val="8"/>
    <w:qFormat/>
    <w:uiPriority w:val="0"/>
    <w:rPr>
      <w:kern w:val="2"/>
      <w:sz w:val="18"/>
      <w:szCs w:val="18"/>
    </w:rPr>
  </w:style>
  <w:style w:type="character" w:customStyle="1" w:styleId="25">
    <w:name w:val="批注主题 Char"/>
    <w:basedOn w:val="22"/>
    <w:link w:val="13"/>
    <w:qFormat/>
    <w:uiPriority w:val="0"/>
  </w:style>
  <w:style w:type="character" w:customStyle="1" w:styleId="26">
    <w:name w:val="正文首行缩进 2 Char"/>
    <w:basedOn w:val="23"/>
    <w:link w:val="14"/>
    <w:qFormat/>
    <w:uiPriority w:val="0"/>
  </w:style>
  <w:style w:type="character" w:customStyle="1" w:styleId="27">
    <w:name w:val="15"/>
    <w:basedOn w:val="16"/>
    <w:qFormat/>
    <w:uiPriority w:val="0"/>
    <w:rPr>
      <w:rFonts w:hint="default" w:ascii="Calibri" w:hAnsi="Calibri"/>
      <w:b/>
      <w:bCs/>
    </w:rPr>
  </w:style>
  <w:style w:type="paragraph" w:customStyle="1" w:styleId="28">
    <w:name w:val="正文首行缩进1"/>
    <w:basedOn w:val="2"/>
    <w:qFormat/>
    <w:uiPriority w:val="0"/>
    <w:pPr>
      <w:spacing w:before="100" w:beforeAutospacing="1" w:after="0" w:line="520" w:lineRule="exact"/>
      <w:ind w:firstLine="420"/>
    </w:pPr>
    <w:rPr>
      <w:rFonts w:ascii="仿宋_GB2312" w:eastAsia="仿宋_GB2312"/>
      <w:kern w:val="0"/>
      <w:sz w:val="30"/>
      <w:szCs w:val="30"/>
    </w:rPr>
  </w:style>
  <w:style w:type="paragraph" w:customStyle="1" w:styleId="29">
    <w:name w:val="正文文字缩进 2"/>
    <w:basedOn w:val="1"/>
    <w:qFormat/>
    <w:uiPriority w:val="0"/>
    <w:pPr>
      <w:ind w:firstLine="600"/>
    </w:pPr>
    <w:rPr>
      <w:rFonts w:ascii="宋体" w:hAnsi="宋体"/>
      <w:sz w:val="32"/>
      <w:szCs w:val="3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8752</Words>
  <Characters>8889</Characters>
  <Lines>68</Lines>
  <Paragraphs>19</Paragraphs>
  <TotalTime>13</TotalTime>
  <ScaleCrop>false</ScaleCrop>
  <LinksUpToDate>false</LinksUpToDate>
  <CharactersWithSpaces>8935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2023-12-24T09:44:00Z</dcterms:created>
  <dc:creator>刘一谊/办公室</dc:creator>
  <cp:lastModifiedBy>Administrator</cp:lastModifiedBy>
  <dcterms:modified xsi:type="dcterms:W3CDTF">2026-04-14T02:03:13Z</dcterms:modified>
  <dc:title>泉建房〔2021〕7号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D071AC859CC74D02941DD851DB9C8474_13</vt:lpwstr>
  </property>
  <property fmtid="{D5CDD505-2E9C-101B-9397-08002B2CF9AE}" pid="4" name="KSOTemplateDocerSaveRecord">
    <vt:lpwstr>eyJoZGlkIjoiYmI0Y2IwMWQxYzhjZDU3NzhkYjEwMTRmMTg2OTY1N2IifQ==</vt:lpwstr>
  </property>
</Properties>
</file>