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1D249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 w14:paraId="3D10C74C">
      <w:pPr>
        <w:pStyle w:val="2"/>
        <w:spacing w:before="141" w:line="220" w:lineRule="auto"/>
        <w:ind w:left="3621"/>
        <w:rPr>
          <w:sz w:val="43"/>
          <w:szCs w:val="43"/>
        </w:rPr>
      </w:pPr>
      <w:r>
        <w:rPr>
          <w:b/>
          <w:bCs/>
          <w:spacing w:val="-9"/>
          <w:sz w:val="43"/>
          <w:szCs w:val="43"/>
        </w:rPr>
        <w:t>问题清单</w:t>
      </w:r>
    </w:p>
    <w:p w14:paraId="5834E191">
      <w:pPr>
        <w:spacing w:before="38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6447"/>
      </w:tblGrid>
      <w:tr w14:paraId="47ACF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5" w:hRule="atLeast"/>
        </w:trPr>
        <w:tc>
          <w:tcPr>
            <w:tcW w:w="2542" w:type="dxa"/>
            <w:vAlign w:val="top"/>
          </w:tcPr>
          <w:p w14:paraId="5FF66312">
            <w:pPr>
              <w:pStyle w:val="6"/>
              <w:spacing w:before="121" w:line="219" w:lineRule="auto"/>
              <w:ind w:left="558"/>
            </w:pPr>
            <w:r>
              <w:rPr>
                <w:b/>
                <w:bCs/>
                <w:spacing w:val="-4"/>
              </w:rPr>
              <w:t>存在问题方面</w:t>
            </w:r>
          </w:p>
        </w:tc>
        <w:tc>
          <w:tcPr>
            <w:tcW w:w="6447" w:type="dxa"/>
            <w:vAlign w:val="top"/>
          </w:tcPr>
          <w:p w14:paraId="0C76BCB7">
            <w:pPr>
              <w:pStyle w:val="6"/>
              <w:spacing w:before="122" w:line="221" w:lineRule="auto"/>
              <w:ind w:left="2546"/>
            </w:pPr>
            <w:r>
              <w:rPr>
                <w:b/>
                <w:bCs/>
                <w:spacing w:val="-5"/>
              </w:rPr>
              <w:t>具体问题描述</w:t>
            </w:r>
          </w:p>
        </w:tc>
      </w:tr>
      <w:tr w14:paraId="42BE1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2542" w:type="dxa"/>
            <w:vAlign w:val="top"/>
          </w:tcPr>
          <w:p w14:paraId="11701C4D">
            <w:pPr>
              <w:spacing w:line="245" w:lineRule="auto"/>
              <w:rPr>
                <w:rFonts w:ascii="Arial"/>
                <w:sz w:val="21"/>
              </w:rPr>
            </w:pPr>
          </w:p>
          <w:p w14:paraId="733C0B5F">
            <w:pPr>
              <w:spacing w:line="245" w:lineRule="auto"/>
              <w:rPr>
                <w:rFonts w:ascii="Arial"/>
                <w:sz w:val="21"/>
              </w:rPr>
            </w:pPr>
          </w:p>
          <w:p w14:paraId="15592B25">
            <w:pPr>
              <w:spacing w:line="246" w:lineRule="auto"/>
              <w:rPr>
                <w:rFonts w:ascii="Arial"/>
                <w:sz w:val="21"/>
              </w:rPr>
            </w:pPr>
          </w:p>
          <w:p w14:paraId="316AFC25">
            <w:pPr>
              <w:pStyle w:val="6"/>
              <w:spacing w:before="78" w:line="217" w:lineRule="auto"/>
              <w:ind w:left="15" w:right="116"/>
            </w:pPr>
            <w:r>
              <w:t>一、落实中央、省级文</w:t>
            </w:r>
            <w:r>
              <w:rPr>
                <w:spacing w:val="-2"/>
              </w:rPr>
              <w:t>件精神情况方面</w:t>
            </w:r>
          </w:p>
        </w:tc>
        <w:tc>
          <w:tcPr>
            <w:tcW w:w="6447" w:type="dxa"/>
            <w:vAlign w:val="top"/>
          </w:tcPr>
          <w:p w14:paraId="595B213E">
            <w:pPr>
              <w:spacing w:line="242" w:lineRule="auto"/>
              <w:rPr>
                <w:rFonts w:ascii="Arial"/>
                <w:sz w:val="21"/>
              </w:rPr>
            </w:pPr>
          </w:p>
          <w:p w14:paraId="140A4972">
            <w:pPr>
              <w:spacing w:line="242" w:lineRule="auto"/>
              <w:rPr>
                <w:rFonts w:ascii="Arial"/>
                <w:sz w:val="21"/>
              </w:rPr>
            </w:pPr>
          </w:p>
          <w:p w14:paraId="0E612768">
            <w:pPr>
              <w:spacing w:line="243" w:lineRule="auto"/>
              <w:rPr>
                <w:rFonts w:ascii="Arial"/>
                <w:sz w:val="21"/>
              </w:rPr>
            </w:pPr>
          </w:p>
          <w:p w14:paraId="2DF9D23A">
            <w:pPr>
              <w:pStyle w:val="6"/>
              <w:spacing w:before="78" w:line="225" w:lineRule="auto"/>
              <w:ind w:left="12" w:firstLine="479"/>
            </w:pPr>
            <w:r>
              <w:rPr>
                <w:spacing w:val="-3"/>
              </w:rPr>
              <w:t>未组织历史文化保护管理方面的培训，仅对历史文化保护</w:t>
            </w:r>
            <w:r>
              <w:rPr>
                <w:spacing w:val="-1"/>
              </w:rPr>
              <w:t>方面进行宣讲。</w:t>
            </w:r>
          </w:p>
        </w:tc>
      </w:tr>
      <w:tr w14:paraId="277E9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2542" w:type="dxa"/>
            <w:vAlign w:val="top"/>
          </w:tcPr>
          <w:p w14:paraId="7327A9DC">
            <w:pPr>
              <w:spacing w:line="291" w:lineRule="auto"/>
              <w:rPr>
                <w:rFonts w:ascii="Arial"/>
                <w:sz w:val="21"/>
              </w:rPr>
            </w:pPr>
          </w:p>
          <w:p w14:paraId="45F974BE">
            <w:pPr>
              <w:spacing w:line="291" w:lineRule="auto"/>
              <w:rPr>
                <w:rFonts w:ascii="Arial"/>
                <w:sz w:val="21"/>
              </w:rPr>
            </w:pPr>
          </w:p>
          <w:p w14:paraId="530876EC">
            <w:pPr>
              <w:pStyle w:val="6"/>
              <w:spacing w:before="78" w:line="216" w:lineRule="auto"/>
              <w:ind w:left="15" w:right="99"/>
              <w:jc w:val="both"/>
            </w:pPr>
            <w:r>
              <w:rPr>
                <w:spacing w:val="1"/>
              </w:rPr>
              <w:t>二、历史文化资源调查评估、认定公布和保护管理情况方面</w:t>
            </w:r>
          </w:p>
        </w:tc>
        <w:tc>
          <w:tcPr>
            <w:tcW w:w="6447" w:type="dxa"/>
            <w:vAlign w:val="top"/>
          </w:tcPr>
          <w:p w14:paraId="784B3E20">
            <w:pPr>
              <w:spacing w:line="430" w:lineRule="auto"/>
              <w:rPr>
                <w:rFonts w:ascii="Arial"/>
                <w:sz w:val="21"/>
              </w:rPr>
            </w:pPr>
          </w:p>
          <w:p w14:paraId="7DD12944">
            <w:pPr>
              <w:pStyle w:val="6"/>
              <w:spacing w:before="78" w:line="222" w:lineRule="auto"/>
              <w:ind w:left="12" w:firstLine="416"/>
              <w:jc w:val="both"/>
            </w:pPr>
            <w:r>
              <w:rPr>
                <w:spacing w:val="-2"/>
              </w:rPr>
              <w:t>历史建筑周边环境治理及保</w:t>
            </w:r>
            <w:r>
              <w:rPr>
                <w:spacing w:val="-3"/>
              </w:rPr>
              <w:t>护难。</w:t>
            </w:r>
            <w:r>
              <w:rPr>
                <w:spacing w:val="-4"/>
              </w:rPr>
              <w:t>历史建筑土木、砖木结构占多数，修缮后部分建筑无法满</w:t>
            </w:r>
            <w:r>
              <w:rPr>
                <w:spacing w:val="-2"/>
              </w:rPr>
              <w:t>足现行的消防安全规范，功能转换的利用难度较大。</w:t>
            </w:r>
          </w:p>
        </w:tc>
      </w:tr>
      <w:tr w14:paraId="6DF76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542" w:type="dxa"/>
            <w:vAlign w:val="top"/>
          </w:tcPr>
          <w:p w14:paraId="19E7C101">
            <w:pPr>
              <w:spacing w:line="350" w:lineRule="auto"/>
              <w:rPr>
                <w:rFonts w:ascii="Arial"/>
                <w:sz w:val="21"/>
              </w:rPr>
            </w:pPr>
          </w:p>
          <w:p w14:paraId="237380D0">
            <w:pPr>
              <w:spacing w:line="351" w:lineRule="auto"/>
              <w:rPr>
                <w:rFonts w:ascii="Arial"/>
                <w:sz w:val="21"/>
              </w:rPr>
            </w:pPr>
          </w:p>
          <w:p w14:paraId="2D50F426">
            <w:pPr>
              <w:pStyle w:val="6"/>
              <w:spacing w:before="78" w:line="234" w:lineRule="auto"/>
              <w:ind w:left="15" w:right="104"/>
            </w:pPr>
            <w:r>
              <w:rPr>
                <w:spacing w:val="1"/>
              </w:rPr>
              <w:t>三、保护管理责任落实</w:t>
            </w:r>
            <w:r>
              <w:rPr>
                <w:spacing w:val="2"/>
              </w:rPr>
              <w:t>情况方面</w:t>
            </w:r>
          </w:p>
        </w:tc>
        <w:tc>
          <w:tcPr>
            <w:tcW w:w="6447" w:type="dxa"/>
            <w:vAlign w:val="top"/>
          </w:tcPr>
          <w:p w14:paraId="3949269C">
            <w:pPr>
              <w:pStyle w:val="6"/>
              <w:spacing w:before="260" w:line="217" w:lineRule="auto"/>
              <w:ind w:left="12" w:firstLine="491"/>
              <w:rPr>
                <w:spacing w:val="-7"/>
              </w:rPr>
            </w:pPr>
          </w:p>
          <w:p w14:paraId="7BD7C817">
            <w:pPr>
              <w:pStyle w:val="6"/>
              <w:spacing w:before="260" w:line="217" w:lineRule="auto"/>
              <w:ind w:left="12" w:firstLine="491"/>
            </w:pPr>
            <w:r>
              <w:rPr>
                <w:spacing w:val="-7"/>
              </w:rPr>
              <w:t>历史</w:t>
            </w:r>
            <w:r>
              <w:rPr>
                <w:rFonts w:hint="eastAsia"/>
                <w:spacing w:val="-7"/>
                <w:lang w:eastAsia="zh-CN"/>
              </w:rPr>
              <w:t>文化</w:t>
            </w:r>
            <w:r>
              <w:rPr>
                <w:spacing w:val="-7"/>
              </w:rPr>
              <w:t>街区</w:t>
            </w:r>
            <w:r>
              <w:rPr>
                <w:rFonts w:hint="eastAsia"/>
                <w:spacing w:val="-7"/>
                <w:lang w:eastAsia="zh-CN"/>
              </w:rPr>
              <w:t>、名镇名村</w:t>
            </w:r>
            <w:r>
              <w:rPr>
                <w:spacing w:val="-3"/>
              </w:rPr>
              <w:t>传统村落保护规划批复</w:t>
            </w:r>
            <w:r>
              <w:rPr>
                <w:rFonts w:hint="eastAsia"/>
                <w:spacing w:val="-3"/>
                <w:lang w:eastAsia="zh-CN"/>
              </w:rPr>
              <w:t>率较低</w:t>
            </w:r>
            <w:r>
              <w:rPr>
                <w:spacing w:val="-3"/>
              </w:rPr>
              <w:t>。</w:t>
            </w:r>
          </w:p>
        </w:tc>
      </w:tr>
      <w:tr w14:paraId="534D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2542" w:type="dxa"/>
            <w:vAlign w:val="top"/>
          </w:tcPr>
          <w:p w14:paraId="49D6F171">
            <w:pPr>
              <w:spacing w:line="244" w:lineRule="auto"/>
              <w:rPr>
                <w:rFonts w:ascii="Arial"/>
                <w:sz w:val="21"/>
              </w:rPr>
            </w:pPr>
          </w:p>
          <w:p w14:paraId="28D867F2">
            <w:pPr>
              <w:spacing w:line="244" w:lineRule="auto"/>
              <w:rPr>
                <w:rFonts w:ascii="Arial"/>
                <w:sz w:val="21"/>
              </w:rPr>
            </w:pPr>
          </w:p>
          <w:p w14:paraId="47D1213E">
            <w:pPr>
              <w:spacing w:line="245" w:lineRule="auto"/>
              <w:rPr>
                <w:rFonts w:ascii="Arial"/>
                <w:sz w:val="21"/>
              </w:rPr>
            </w:pPr>
          </w:p>
          <w:p w14:paraId="1178C213">
            <w:pPr>
              <w:pStyle w:val="6"/>
              <w:spacing w:before="78" w:line="215" w:lineRule="auto"/>
              <w:ind w:left="15" w:right="106"/>
            </w:pPr>
            <w:r>
              <w:rPr>
                <w:spacing w:val="1"/>
              </w:rPr>
              <w:t>四、保护利用工作成效</w:t>
            </w:r>
            <w:r>
              <w:rPr>
                <w:spacing w:val="5"/>
              </w:rPr>
              <w:t>方面</w:t>
            </w:r>
          </w:p>
        </w:tc>
        <w:tc>
          <w:tcPr>
            <w:tcW w:w="6447" w:type="dxa"/>
            <w:vAlign w:val="top"/>
          </w:tcPr>
          <w:p w14:paraId="39C47A96">
            <w:pPr>
              <w:spacing w:line="301" w:lineRule="auto"/>
              <w:rPr>
                <w:rFonts w:ascii="Arial"/>
                <w:sz w:val="21"/>
              </w:rPr>
            </w:pPr>
          </w:p>
          <w:p w14:paraId="20D711A4">
            <w:pPr>
              <w:spacing w:line="302" w:lineRule="auto"/>
              <w:rPr>
                <w:rFonts w:ascii="Arial"/>
                <w:sz w:val="21"/>
              </w:rPr>
            </w:pPr>
          </w:p>
          <w:p w14:paraId="72A3877B">
            <w:pPr>
              <w:pStyle w:val="6"/>
              <w:spacing w:before="78" w:line="217" w:lineRule="auto"/>
              <w:ind w:left="12" w:firstLine="498"/>
              <w:jc w:val="both"/>
            </w:pPr>
            <w:r>
              <w:rPr>
                <w:spacing w:val="-3"/>
              </w:rPr>
              <w:t>成效集中在历史城区，大多由政府主导实施</w:t>
            </w:r>
            <w:r>
              <w:rPr>
                <w:spacing w:val="-4"/>
              </w:rPr>
              <w:t>的项目，居民</w:t>
            </w:r>
            <w:r>
              <w:rPr>
                <w:spacing w:val="-2"/>
              </w:rPr>
              <w:t>参与度还不够，主要体现在县域历史地段、名镇、名村</w:t>
            </w:r>
            <w:r>
              <w:rPr>
                <w:spacing w:val="-3"/>
              </w:rPr>
              <w:t>的保护</w:t>
            </w:r>
            <w:r>
              <w:rPr>
                <w:spacing w:val="-1"/>
              </w:rPr>
              <w:t>利用还需进一步提升。</w:t>
            </w:r>
          </w:p>
        </w:tc>
      </w:tr>
      <w:tr w14:paraId="06FD2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2542" w:type="dxa"/>
            <w:vAlign w:val="top"/>
          </w:tcPr>
          <w:p w14:paraId="666A06A3">
            <w:pPr>
              <w:spacing w:line="248" w:lineRule="auto"/>
              <w:rPr>
                <w:rFonts w:ascii="Arial"/>
                <w:sz w:val="21"/>
              </w:rPr>
            </w:pPr>
          </w:p>
          <w:p w14:paraId="3F4B1D31">
            <w:pPr>
              <w:spacing w:line="248" w:lineRule="auto"/>
              <w:rPr>
                <w:rFonts w:ascii="Arial"/>
                <w:sz w:val="21"/>
              </w:rPr>
            </w:pPr>
          </w:p>
          <w:p w14:paraId="04DF7F57">
            <w:pPr>
              <w:spacing w:line="248" w:lineRule="auto"/>
              <w:rPr>
                <w:rFonts w:ascii="Arial"/>
                <w:sz w:val="21"/>
              </w:rPr>
            </w:pPr>
          </w:p>
          <w:p w14:paraId="25D6B9CE">
            <w:pPr>
              <w:pStyle w:val="6"/>
              <w:spacing w:before="78" w:line="226" w:lineRule="auto"/>
              <w:ind w:left="15" w:right="105"/>
            </w:pPr>
            <w:r>
              <w:rPr>
                <w:spacing w:val="1"/>
              </w:rPr>
              <w:t>五、保护活化利用实施项目情况方面</w:t>
            </w:r>
          </w:p>
        </w:tc>
        <w:tc>
          <w:tcPr>
            <w:tcW w:w="6447" w:type="dxa"/>
            <w:vAlign w:val="top"/>
          </w:tcPr>
          <w:p w14:paraId="0277FDCF">
            <w:pPr>
              <w:spacing w:line="297" w:lineRule="auto"/>
              <w:rPr>
                <w:rFonts w:ascii="Arial"/>
                <w:sz w:val="21"/>
              </w:rPr>
            </w:pPr>
          </w:p>
          <w:p w14:paraId="19A1A42C">
            <w:pPr>
              <w:spacing w:line="297" w:lineRule="auto"/>
              <w:rPr>
                <w:rFonts w:ascii="Arial"/>
                <w:sz w:val="21"/>
              </w:rPr>
            </w:pPr>
          </w:p>
          <w:p w14:paraId="1F9D534D">
            <w:pPr>
              <w:pStyle w:val="6"/>
              <w:spacing w:before="78" w:line="214" w:lineRule="auto"/>
              <w:ind w:left="12" w:firstLine="456"/>
              <w:jc w:val="both"/>
            </w:pPr>
            <w:r>
              <w:rPr>
                <w:spacing w:val="-4"/>
              </w:rPr>
              <w:t>传统工匠的技艺水平参差不</w:t>
            </w:r>
            <w:r>
              <w:rPr>
                <w:spacing w:val="-2"/>
              </w:rPr>
              <w:t>齐，年轻人从事传统建筑工匠意愿不高，人才队伍严重</w:t>
            </w:r>
            <w:r>
              <w:rPr>
                <w:spacing w:val="-3"/>
              </w:rPr>
              <w:t>缺乏。</w:t>
            </w:r>
          </w:p>
        </w:tc>
      </w:tr>
    </w:tbl>
    <w:p w14:paraId="7BFAB22D">
      <w:pPr>
        <w:rPr>
          <w:rFonts w:ascii="Arial"/>
          <w:sz w:val="21"/>
        </w:rPr>
      </w:pPr>
    </w:p>
    <w:p w14:paraId="4A52BB8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60" w:h="16880"/>
          <w:pgMar w:top="1434" w:right="1315" w:bottom="1009" w:left="1544" w:header="0" w:footer="632" w:gutter="0"/>
          <w:cols w:space="720" w:num="1"/>
        </w:sectPr>
      </w:pPr>
    </w:p>
    <w:p w14:paraId="08E7FA6D">
      <w:pPr>
        <w:spacing w:before="304" w:line="224" w:lineRule="auto"/>
        <w:ind w:left="1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附件2</w:t>
      </w:r>
    </w:p>
    <w:p w14:paraId="03008188">
      <w:pPr>
        <w:spacing w:line="366" w:lineRule="auto"/>
        <w:rPr>
          <w:rFonts w:ascii="Arial"/>
          <w:sz w:val="21"/>
        </w:rPr>
      </w:pPr>
    </w:p>
    <w:p w14:paraId="780304B0">
      <w:pPr>
        <w:pStyle w:val="2"/>
        <w:spacing w:before="137" w:line="208" w:lineRule="auto"/>
        <w:ind w:left="3280"/>
        <w:rPr>
          <w:sz w:val="42"/>
          <w:szCs w:val="42"/>
        </w:rPr>
      </w:pPr>
      <w:r>
        <w:rPr>
          <w:b/>
          <w:bCs/>
          <w:spacing w:val="-4"/>
          <w:sz w:val="42"/>
          <w:szCs w:val="42"/>
        </w:rPr>
        <w:t>典型经验清单</w:t>
      </w:r>
    </w:p>
    <w:tbl>
      <w:tblPr>
        <w:tblStyle w:val="5"/>
        <w:tblW w:w="90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2048"/>
        <w:gridCol w:w="4727"/>
      </w:tblGrid>
      <w:tr w14:paraId="45FDC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22" w:type="dxa"/>
            <w:vAlign w:val="top"/>
          </w:tcPr>
          <w:p w14:paraId="3C3B25A8">
            <w:pPr>
              <w:pStyle w:val="6"/>
              <w:spacing w:before="121" w:line="219" w:lineRule="auto"/>
              <w:ind w:left="658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工作内容</w:t>
            </w:r>
          </w:p>
        </w:tc>
        <w:tc>
          <w:tcPr>
            <w:tcW w:w="2048" w:type="dxa"/>
            <w:vAlign w:val="top"/>
          </w:tcPr>
          <w:p w14:paraId="107EA8B8">
            <w:pPr>
              <w:pStyle w:val="6"/>
              <w:spacing w:before="122" w:line="220" w:lineRule="auto"/>
              <w:ind w:left="306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具体案例名称</w:t>
            </w:r>
          </w:p>
        </w:tc>
        <w:tc>
          <w:tcPr>
            <w:tcW w:w="4727" w:type="dxa"/>
            <w:vAlign w:val="top"/>
          </w:tcPr>
          <w:p w14:paraId="36EF9246">
            <w:pPr>
              <w:pStyle w:val="6"/>
              <w:spacing w:before="121" w:line="219" w:lineRule="auto"/>
              <w:ind w:left="2078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内容</w:t>
            </w:r>
          </w:p>
        </w:tc>
      </w:tr>
      <w:tr w14:paraId="492D8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2322" w:type="dxa"/>
            <w:vAlign w:val="top"/>
          </w:tcPr>
          <w:p w14:paraId="13A763CB">
            <w:pPr>
              <w:spacing w:line="261" w:lineRule="auto"/>
              <w:rPr>
                <w:rFonts w:ascii="Arial"/>
                <w:sz w:val="21"/>
              </w:rPr>
            </w:pPr>
          </w:p>
          <w:p w14:paraId="3612765B">
            <w:pPr>
              <w:spacing w:line="261" w:lineRule="auto"/>
              <w:rPr>
                <w:rFonts w:ascii="Arial"/>
                <w:sz w:val="21"/>
              </w:rPr>
            </w:pPr>
          </w:p>
          <w:p w14:paraId="57541B51">
            <w:pPr>
              <w:spacing w:line="261" w:lineRule="auto"/>
              <w:rPr>
                <w:rFonts w:ascii="Arial"/>
                <w:sz w:val="21"/>
              </w:rPr>
            </w:pPr>
          </w:p>
          <w:p w14:paraId="48DEF9B8">
            <w:pPr>
              <w:pStyle w:val="6"/>
              <w:spacing w:before="81" w:line="223" w:lineRule="auto"/>
              <w:ind w:left="154" w:right="37" w:hanging="13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一、落实中央、省级</w:t>
            </w:r>
            <w:r>
              <w:rPr>
                <w:spacing w:val="1"/>
                <w:sz w:val="25"/>
                <w:szCs w:val="25"/>
              </w:rPr>
              <w:t>文件精神情况方面</w:t>
            </w:r>
          </w:p>
        </w:tc>
        <w:tc>
          <w:tcPr>
            <w:tcW w:w="2048" w:type="dxa"/>
            <w:vAlign w:val="top"/>
          </w:tcPr>
          <w:p w14:paraId="214A1D39">
            <w:pPr>
              <w:pStyle w:val="6"/>
              <w:spacing w:before="30" w:line="210" w:lineRule="auto"/>
              <w:ind w:left="122"/>
              <w:rPr>
                <w:spacing w:val="-11"/>
                <w:sz w:val="25"/>
                <w:szCs w:val="25"/>
              </w:rPr>
            </w:pPr>
          </w:p>
          <w:p w14:paraId="1C82D351">
            <w:pPr>
              <w:pStyle w:val="6"/>
              <w:spacing w:before="30" w:line="210" w:lineRule="auto"/>
              <w:ind w:left="122"/>
              <w:rPr>
                <w:spacing w:val="-11"/>
                <w:sz w:val="25"/>
                <w:szCs w:val="25"/>
              </w:rPr>
            </w:pPr>
          </w:p>
          <w:p w14:paraId="209A849D">
            <w:pPr>
              <w:pStyle w:val="6"/>
              <w:spacing w:before="30" w:line="210" w:lineRule="auto"/>
              <w:ind w:left="122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强化制度保障，确</w:t>
            </w:r>
            <w:r>
              <w:rPr>
                <w:sz w:val="25"/>
                <w:szCs w:val="25"/>
              </w:rPr>
              <w:t>保工作落实</w:t>
            </w:r>
          </w:p>
        </w:tc>
        <w:tc>
          <w:tcPr>
            <w:tcW w:w="4727" w:type="dxa"/>
            <w:vAlign w:val="top"/>
          </w:tcPr>
          <w:p w14:paraId="78D4BE3B">
            <w:pPr>
              <w:pStyle w:val="6"/>
              <w:spacing w:before="28" w:line="204" w:lineRule="auto"/>
              <w:ind w:left="74" w:right="7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泉州市住房和城乡建设局党组积极响应上级要求，建立了向党委报告年度历史文化保护工作制度，确保了工作进展的透明度和可追溯性。通过正式行文向泉州市委报</w:t>
            </w:r>
            <w:r>
              <w:rPr>
                <w:spacing w:val="9"/>
                <w:sz w:val="25"/>
                <w:szCs w:val="25"/>
              </w:rPr>
              <w:t>告工作情况，泉州市下辖的12个县</w:t>
            </w:r>
            <w:r>
              <w:rPr>
                <w:rFonts w:hint="eastAsia"/>
                <w:spacing w:val="9"/>
                <w:sz w:val="25"/>
                <w:szCs w:val="25"/>
                <w:lang w:eastAsia="zh-CN"/>
              </w:rPr>
              <w:t>（</w:t>
            </w:r>
            <w:r>
              <w:rPr>
                <w:spacing w:val="9"/>
                <w:sz w:val="25"/>
                <w:szCs w:val="25"/>
              </w:rPr>
              <w:t>市、</w:t>
            </w:r>
            <w:r>
              <w:rPr>
                <w:spacing w:val="4"/>
                <w:sz w:val="25"/>
                <w:szCs w:val="25"/>
              </w:rPr>
              <w:t>区</w:t>
            </w:r>
            <w:r>
              <w:rPr>
                <w:rFonts w:hint="eastAsia"/>
                <w:spacing w:val="4"/>
                <w:sz w:val="25"/>
                <w:szCs w:val="25"/>
                <w:lang w:eastAsia="zh-CN"/>
              </w:rPr>
              <w:t>）</w:t>
            </w:r>
            <w:r>
              <w:rPr>
                <w:spacing w:val="4"/>
                <w:sz w:val="25"/>
                <w:szCs w:val="25"/>
              </w:rPr>
              <w:t>均得以落实到位，并获得了党委主要</w:t>
            </w:r>
            <w:r>
              <w:rPr>
                <w:sz w:val="25"/>
                <w:szCs w:val="25"/>
              </w:rPr>
              <w:t>领导的批示，为历史文化保护工作的深入</w:t>
            </w:r>
            <w:r>
              <w:rPr>
                <w:spacing w:val="3"/>
                <w:sz w:val="25"/>
                <w:szCs w:val="25"/>
              </w:rPr>
              <w:t>推进提供了有力的制度保障。</w:t>
            </w:r>
          </w:p>
        </w:tc>
      </w:tr>
      <w:tr w14:paraId="3A29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2322" w:type="dxa"/>
            <w:vAlign w:val="top"/>
          </w:tcPr>
          <w:p w14:paraId="4514EB97">
            <w:pPr>
              <w:spacing w:line="284" w:lineRule="auto"/>
              <w:rPr>
                <w:rFonts w:ascii="Arial"/>
                <w:sz w:val="21"/>
              </w:rPr>
            </w:pPr>
          </w:p>
          <w:p w14:paraId="7610B293">
            <w:pPr>
              <w:spacing w:line="284" w:lineRule="auto"/>
              <w:rPr>
                <w:rFonts w:ascii="Arial"/>
                <w:sz w:val="21"/>
              </w:rPr>
            </w:pPr>
          </w:p>
          <w:p w14:paraId="20138DFD">
            <w:pPr>
              <w:pStyle w:val="6"/>
              <w:spacing w:before="82" w:line="197" w:lineRule="auto"/>
              <w:ind w:left="2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二、历史文化资源调</w:t>
            </w:r>
          </w:p>
          <w:p w14:paraId="6AC7DF1A">
            <w:pPr>
              <w:pStyle w:val="6"/>
              <w:spacing w:before="1" w:line="217" w:lineRule="auto"/>
              <w:ind w:left="2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查评估、认定公布和</w:t>
            </w:r>
          </w:p>
          <w:p w14:paraId="2A4B0178">
            <w:pPr>
              <w:pStyle w:val="6"/>
              <w:spacing w:before="7" w:line="219" w:lineRule="auto"/>
              <w:ind w:left="15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保护管理情况方面</w:t>
            </w:r>
          </w:p>
        </w:tc>
        <w:tc>
          <w:tcPr>
            <w:tcW w:w="2048" w:type="dxa"/>
            <w:vAlign w:val="top"/>
          </w:tcPr>
          <w:p w14:paraId="5B3DB794">
            <w:pPr>
              <w:pStyle w:val="6"/>
              <w:spacing w:before="41" w:line="209" w:lineRule="auto"/>
              <w:ind w:left="122"/>
              <w:rPr>
                <w:spacing w:val="-11"/>
                <w:sz w:val="25"/>
                <w:szCs w:val="25"/>
              </w:rPr>
            </w:pPr>
          </w:p>
          <w:p w14:paraId="40127848">
            <w:pPr>
              <w:pStyle w:val="6"/>
              <w:spacing w:before="41" w:line="209" w:lineRule="auto"/>
              <w:ind w:left="122"/>
              <w:rPr>
                <w:spacing w:val="-11"/>
                <w:sz w:val="25"/>
                <w:szCs w:val="25"/>
              </w:rPr>
            </w:pPr>
          </w:p>
          <w:p w14:paraId="04AA711A">
            <w:pPr>
              <w:pStyle w:val="6"/>
              <w:spacing w:before="41" w:line="209" w:lineRule="auto"/>
              <w:ind w:left="122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聚焦侨厝保护，历</w:t>
            </w:r>
            <w:r>
              <w:rPr>
                <w:spacing w:val="1"/>
                <w:sz w:val="25"/>
                <w:szCs w:val="25"/>
              </w:rPr>
              <w:t>史文化资源保护</w:t>
            </w:r>
            <w:r>
              <w:rPr>
                <w:spacing w:val="2"/>
                <w:sz w:val="25"/>
                <w:szCs w:val="25"/>
              </w:rPr>
              <w:t>全覆盖</w:t>
            </w:r>
          </w:p>
        </w:tc>
        <w:tc>
          <w:tcPr>
            <w:tcW w:w="4727" w:type="dxa"/>
            <w:vAlign w:val="top"/>
          </w:tcPr>
          <w:p w14:paraId="71AAA357">
            <w:pPr>
              <w:pStyle w:val="6"/>
              <w:spacing w:before="49" w:line="209" w:lineRule="auto"/>
              <w:ind w:left="74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泉州市在全省率先出台《泉州市“刺桐侨厝”保护利用三年专项行动》《泉州市华</w:t>
            </w:r>
            <w:r>
              <w:rPr>
                <w:sz w:val="25"/>
                <w:szCs w:val="25"/>
              </w:rPr>
              <w:t>侨建筑认定与管控导则》</w:t>
            </w:r>
            <w:r>
              <w:rPr>
                <w:rFonts w:hint="eastAsia"/>
                <w:sz w:val="25"/>
                <w:szCs w:val="25"/>
                <w:lang w:eastAsia="zh-CN"/>
              </w:rPr>
              <w:t>，</w:t>
            </w:r>
            <w:r>
              <w:rPr>
                <w:sz w:val="25"/>
                <w:szCs w:val="25"/>
              </w:rPr>
              <w:t>通过市级统筹、</w:t>
            </w:r>
            <w:r>
              <w:rPr>
                <w:spacing w:val="1"/>
                <w:sz w:val="25"/>
                <w:szCs w:val="25"/>
              </w:rPr>
              <w:t>县级摸排的方式，初步认定华侨建筑682</w:t>
            </w:r>
            <w:r>
              <w:rPr>
                <w:spacing w:val="-3"/>
                <w:sz w:val="25"/>
                <w:szCs w:val="25"/>
              </w:rPr>
              <w:t>栋，主要包括了留存50年以上的侨领故居</w:t>
            </w:r>
            <w:r>
              <w:rPr>
                <w:sz w:val="25"/>
                <w:szCs w:val="25"/>
              </w:rPr>
              <w:t>祖屋、宗祠、南洋建筑风格的特色侨房，</w:t>
            </w:r>
            <w:r>
              <w:rPr>
                <w:spacing w:val="2"/>
                <w:sz w:val="25"/>
                <w:szCs w:val="25"/>
              </w:rPr>
              <w:t>实现历史文化资源全覆盖。</w:t>
            </w:r>
          </w:p>
        </w:tc>
      </w:tr>
      <w:tr w14:paraId="59154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</w:trPr>
        <w:tc>
          <w:tcPr>
            <w:tcW w:w="2322" w:type="dxa"/>
            <w:vAlign w:val="top"/>
          </w:tcPr>
          <w:p w14:paraId="79F0E1A4">
            <w:pPr>
              <w:spacing w:line="241" w:lineRule="auto"/>
              <w:rPr>
                <w:rFonts w:ascii="Arial"/>
                <w:sz w:val="21"/>
              </w:rPr>
            </w:pPr>
          </w:p>
          <w:p w14:paraId="5C34C6A9">
            <w:pPr>
              <w:spacing w:line="241" w:lineRule="auto"/>
              <w:rPr>
                <w:rFonts w:ascii="Arial"/>
                <w:sz w:val="21"/>
              </w:rPr>
            </w:pPr>
          </w:p>
          <w:p w14:paraId="675927C1">
            <w:pPr>
              <w:spacing w:line="241" w:lineRule="auto"/>
              <w:rPr>
                <w:rFonts w:ascii="Arial"/>
                <w:sz w:val="21"/>
              </w:rPr>
            </w:pPr>
          </w:p>
          <w:p w14:paraId="4B16ED8C">
            <w:pPr>
              <w:spacing w:line="241" w:lineRule="auto"/>
              <w:rPr>
                <w:rFonts w:ascii="Arial"/>
                <w:sz w:val="21"/>
              </w:rPr>
            </w:pPr>
          </w:p>
          <w:p w14:paraId="305AB8A1">
            <w:pPr>
              <w:spacing w:line="241" w:lineRule="auto"/>
              <w:rPr>
                <w:rFonts w:ascii="Arial"/>
                <w:sz w:val="21"/>
              </w:rPr>
            </w:pPr>
          </w:p>
          <w:p w14:paraId="41F41983">
            <w:pPr>
              <w:spacing w:line="242" w:lineRule="auto"/>
              <w:rPr>
                <w:rFonts w:ascii="Arial"/>
                <w:sz w:val="21"/>
              </w:rPr>
            </w:pPr>
          </w:p>
          <w:p w14:paraId="7372FD9B">
            <w:pPr>
              <w:spacing w:line="242" w:lineRule="auto"/>
              <w:rPr>
                <w:rFonts w:ascii="Arial"/>
                <w:sz w:val="21"/>
              </w:rPr>
            </w:pPr>
          </w:p>
          <w:p w14:paraId="626925B3">
            <w:pPr>
              <w:spacing w:line="242" w:lineRule="auto"/>
              <w:rPr>
                <w:rFonts w:ascii="Arial"/>
                <w:sz w:val="21"/>
              </w:rPr>
            </w:pPr>
          </w:p>
          <w:p w14:paraId="166389EB">
            <w:pPr>
              <w:pStyle w:val="6"/>
              <w:spacing w:before="82" w:line="206" w:lineRule="auto"/>
              <w:ind w:left="104" w:right="25" w:hanging="8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三、保护管理责任落</w:t>
            </w:r>
            <w:r>
              <w:rPr>
                <w:spacing w:val="2"/>
                <w:sz w:val="25"/>
                <w:szCs w:val="25"/>
              </w:rPr>
              <w:t>实情况方面</w:t>
            </w:r>
          </w:p>
        </w:tc>
        <w:tc>
          <w:tcPr>
            <w:tcW w:w="2048" w:type="dxa"/>
            <w:vAlign w:val="top"/>
          </w:tcPr>
          <w:p w14:paraId="4D76DB33">
            <w:pPr>
              <w:pStyle w:val="6"/>
              <w:spacing w:before="54" w:line="219" w:lineRule="auto"/>
              <w:ind w:left="122"/>
              <w:rPr>
                <w:spacing w:val="1"/>
                <w:sz w:val="25"/>
                <w:szCs w:val="25"/>
              </w:rPr>
            </w:pPr>
          </w:p>
          <w:p w14:paraId="4F081C30">
            <w:pPr>
              <w:pStyle w:val="6"/>
              <w:spacing w:before="54" w:line="219" w:lineRule="auto"/>
              <w:ind w:left="122"/>
              <w:rPr>
                <w:spacing w:val="1"/>
                <w:sz w:val="25"/>
                <w:szCs w:val="25"/>
              </w:rPr>
            </w:pPr>
          </w:p>
          <w:p w14:paraId="4FD59528">
            <w:pPr>
              <w:pStyle w:val="6"/>
              <w:spacing w:before="54" w:line="219" w:lineRule="auto"/>
              <w:ind w:left="122"/>
              <w:rPr>
                <w:spacing w:val="1"/>
                <w:sz w:val="25"/>
                <w:szCs w:val="25"/>
              </w:rPr>
            </w:pPr>
          </w:p>
          <w:p w14:paraId="1CE3595E">
            <w:pPr>
              <w:pStyle w:val="6"/>
              <w:spacing w:before="54" w:line="219" w:lineRule="auto"/>
              <w:ind w:left="122"/>
              <w:rPr>
                <w:spacing w:val="1"/>
                <w:sz w:val="25"/>
                <w:szCs w:val="25"/>
              </w:rPr>
            </w:pPr>
          </w:p>
          <w:p w14:paraId="5784AF36">
            <w:pPr>
              <w:pStyle w:val="6"/>
              <w:spacing w:before="54" w:line="219" w:lineRule="auto"/>
              <w:ind w:left="122"/>
              <w:rPr>
                <w:spacing w:val="1"/>
                <w:sz w:val="25"/>
                <w:szCs w:val="25"/>
              </w:rPr>
            </w:pPr>
          </w:p>
          <w:p w14:paraId="649400B7">
            <w:pPr>
              <w:pStyle w:val="6"/>
              <w:spacing w:before="54" w:line="219" w:lineRule="auto"/>
              <w:ind w:left="122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强化政策支撑</w:t>
            </w:r>
          </w:p>
        </w:tc>
        <w:tc>
          <w:tcPr>
            <w:tcW w:w="4727" w:type="dxa"/>
            <w:vAlign w:val="top"/>
          </w:tcPr>
          <w:p w14:paraId="429B3202">
            <w:pPr>
              <w:pStyle w:val="6"/>
              <w:spacing w:before="49" w:line="209" w:lineRule="auto"/>
              <w:ind w:left="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泉州市整合古城范围内国有存量资产，实体化运作泉州古城发展有限公司，作为古</w:t>
            </w:r>
            <w:r>
              <w:rPr>
                <w:spacing w:val="-2"/>
                <w:sz w:val="25"/>
                <w:szCs w:val="25"/>
              </w:rPr>
              <w:t>城资产统筹利用平台。古城范围内的存量</w:t>
            </w:r>
            <w:r>
              <w:rPr>
                <w:spacing w:val="6"/>
                <w:sz w:val="25"/>
                <w:szCs w:val="25"/>
              </w:rPr>
              <w:t>资产通过交易改变资产性质，优化业态、</w:t>
            </w:r>
            <w:r>
              <w:rPr>
                <w:spacing w:val="-12"/>
                <w:sz w:val="25"/>
                <w:szCs w:val="25"/>
              </w:rPr>
              <w:t>转变资产功能，将闲置资产变为“活资产”</w:t>
            </w:r>
            <w:r>
              <w:rPr>
                <w:rFonts w:hint="eastAsia"/>
                <w:spacing w:val="-12"/>
                <w:sz w:val="25"/>
                <w:szCs w:val="25"/>
                <w:lang w:eastAsia="zh-CN"/>
              </w:rPr>
              <w:t>，</w:t>
            </w:r>
            <w:r>
              <w:rPr>
                <w:sz w:val="25"/>
                <w:szCs w:val="25"/>
              </w:rPr>
              <w:t>大幅提高古城存量低效资产价值及融资使</w:t>
            </w:r>
            <w:r>
              <w:rPr>
                <w:spacing w:val="3"/>
                <w:sz w:val="25"/>
                <w:szCs w:val="25"/>
              </w:rPr>
              <w:t>用价值，实现“古城整治提升资产价值，资产变性实现价值变现”。</w:t>
            </w:r>
          </w:p>
          <w:p w14:paraId="393AC780">
            <w:pPr>
              <w:pStyle w:val="6"/>
              <w:spacing w:before="1" w:line="199" w:lineRule="auto"/>
              <w:ind w:left="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泉州市系统化推进华侨建筑保护修缮，策</w:t>
            </w:r>
          </w:p>
          <w:p w14:paraId="76DA49C8">
            <w:pPr>
              <w:pStyle w:val="6"/>
              <w:spacing w:line="214" w:lineRule="auto"/>
              <w:ind w:left="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划生成10处“刺桐侨厝群”重点保护提升</w:t>
            </w:r>
          </w:p>
          <w:p w14:paraId="2BA51185">
            <w:pPr>
              <w:pStyle w:val="6"/>
              <w:spacing w:line="214" w:lineRule="auto"/>
              <w:ind w:left="1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项目，100栋华侨建筑单体修缮项目，对于</w:t>
            </w:r>
          </w:p>
          <w:p w14:paraId="1BAEAB99">
            <w:pPr>
              <w:pStyle w:val="6"/>
              <w:spacing w:before="1" w:line="206" w:lineRule="auto"/>
              <w:ind w:left="20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列入县</w:t>
            </w:r>
            <w:r>
              <w:rPr>
                <w:rFonts w:hint="eastAsia"/>
                <w:sz w:val="25"/>
                <w:szCs w:val="25"/>
                <w:lang w:eastAsia="zh-CN"/>
              </w:rPr>
              <w:t>（</w:t>
            </w:r>
            <w:r>
              <w:rPr>
                <w:sz w:val="25"/>
                <w:szCs w:val="25"/>
              </w:rPr>
              <w:t>市、区</w:t>
            </w:r>
            <w:r>
              <w:rPr>
                <w:rFonts w:hint="eastAsia"/>
                <w:sz w:val="25"/>
                <w:szCs w:val="25"/>
                <w:lang w:eastAsia="zh-CN"/>
              </w:rPr>
              <w:t>）</w:t>
            </w:r>
            <w:r>
              <w:rPr>
                <w:sz w:val="25"/>
                <w:szCs w:val="25"/>
              </w:rPr>
              <w:t>重点实施修缮的10栋华</w:t>
            </w:r>
          </w:p>
          <w:p w14:paraId="7663C0D3">
            <w:pPr>
              <w:pStyle w:val="6"/>
              <w:spacing w:line="206" w:lineRule="auto"/>
              <w:ind w:left="7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侨建筑，将按照每栋10万元的标准给予修</w:t>
            </w:r>
          </w:p>
          <w:p w14:paraId="0BDB455C">
            <w:pPr>
              <w:pStyle w:val="6"/>
              <w:spacing w:before="2" w:line="192" w:lineRule="auto"/>
              <w:ind w:left="74" w:firstLine="49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缮补助，打造“一县一核心区、一镇一片、</w:t>
            </w:r>
            <w:r>
              <w:rPr>
                <w:spacing w:val="-3"/>
                <w:sz w:val="25"/>
                <w:szCs w:val="25"/>
              </w:rPr>
              <w:t>一村一馆”的华侨建筑风貌展示区、乡愁</w:t>
            </w:r>
            <w:r>
              <w:rPr>
                <w:spacing w:val="8"/>
                <w:sz w:val="25"/>
                <w:szCs w:val="25"/>
              </w:rPr>
              <w:t>记忆馆。</w:t>
            </w:r>
          </w:p>
        </w:tc>
      </w:tr>
      <w:tr w14:paraId="5C1CB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2322" w:type="dxa"/>
            <w:vAlign w:val="top"/>
          </w:tcPr>
          <w:p w14:paraId="27E5B651">
            <w:pPr>
              <w:spacing w:line="270" w:lineRule="auto"/>
              <w:rPr>
                <w:rFonts w:ascii="Arial"/>
                <w:sz w:val="21"/>
              </w:rPr>
            </w:pPr>
          </w:p>
          <w:p w14:paraId="52E36DE0">
            <w:pPr>
              <w:spacing w:line="270" w:lineRule="auto"/>
              <w:rPr>
                <w:rFonts w:ascii="Arial"/>
                <w:sz w:val="21"/>
              </w:rPr>
            </w:pPr>
          </w:p>
          <w:p w14:paraId="22CE6BA7">
            <w:pPr>
              <w:spacing w:line="270" w:lineRule="auto"/>
              <w:rPr>
                <w:rFonts w:ascii="Arial"/>
                <w:sz w:val="21"/>
              </w:rPr>
            </w:pPr>
          </w:p>
          <w:p w14:paraId="496FD9BF">
            <w:pPr>
              <w:spacing w:line="271" w:lineRule="auto"/>
              <w:rPr>
                <w:rFonts w:ascii="Arial"/>
                <w:sz w:val="21"/>
              </w:rPr>
            </w:pPr>
          </w:p>
          <w:p w14:paraId="4C0F42F2">
            <w:pPr>
              <w:pStyle w:val="6"/>
              <w:spacing w:before="81" w:line="206" w:lineRule="auto"/>
              <w:ind w:left="93" w:right="25" w:hanging="6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四、保护利用工作成</w:t>
            </w:r>
            <w:r>
              <w:rPr>
                <w:spacing w:val="3"/>
                <w:sz w:val="25"/>
                <w:szCs w:val="25"/>
              </w:rPr>
              <w:t>效方面</w:t>
            </w:r>
          </w:p>
        </w:tc>
        <w:tc>
          <w:tcPr>
            <w:tcW w:w="2048" w:type="dxa"/>
            <w:vAlign w:val="top"/>
          </w:tcPr>
          <w:p w14:paraId="14837138">
            <w:pPr>
              <w:pStyle w:val="6"/>
              <w:spacing w:before="54" w:line="219" w:lineRule="auto"/>
              <w:ind w:left="122"/>
              <w:rPr>
                <w:spacing w:val="1"/>
                <w:sz w:val="25"/>
                <w:szCs w:val="25"/>
              </w:rPr>
            </w:pPr>
          </w:p>
          <w:p w14:paraId="69B8FAB1">
            <w:pPr>
              <w:pStyle w:val="6"/>
              <w:spacing w:before="54" w:line="219" w:lineRule="auto"/>
              <w:ind w:left="122"/>
              <w:rPr>
                <w:spacing w:val="1"/>
                <w:sz w:val="25"/>
                <w:szCs w:val="25"/>
              </w:rPr>
            </w:pPr>
          </w:p>
          <w:p w14:paraId="690A2E42">
            <w:pPr>
              <w:pStyle w:val="6"/>
              <w:spacing w:before="54" w:line="219" w:lineRule="auto"/>
              <w:ind w:left="122"/>
              <w:rPr>
                <w:spacing w:val="1"/>
                <w:sz w:val="25"/>
                <w:szCs w:val="25"/>
              </w:rPr>
            </w:pPr>
          </w:p>
          <w:p w14:paraId="7A4F1D7E">
            <w:pPr>
              <w:pStyle w:val="6"/>
              <w:spacing w:before="54" w:line="219" w:lineRule="auto"/>
              <w:ind w:left="122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创新举措不扰民</w:t>
            </w:r>
          </w:p>
        </w:tc>
        <w:tc>
          <w:tcPr>
            <w:tcW w:w="4727" w:type="dxa"/>
            <w:vAlign w:val="top"/>
          </w:tcPr>
          <w:p w14:paraId="5A9F02A2">
            <w:pPr>
              <w:pStyle w:val="6"/>
              <w:spacing w:before="50" w:line="205" w:lineRule="auto"/>
              <w:ind w:left="74" w:right="1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泉州市采用微扰动、低冲击的“绣花”功</w:t>
            </w:r>
            <w:r>
              <w:rPr>
                <w:spacing w:val="6"/>
                <w:sz w:val="25"/>
                <w:szCs w:val="25"/>
              </w:rPr>
              <w:t>夫，通过提前规划设计、使用低噪设备、</w:t>
            </w:r>
            <w:r>
              <w:rPr>
                <w:sz w:val="25"/>
                <w:szCs w:val="25"/>
              </w:rPr>
              <w:t>严控施工时段、精细化修缮部位以降低对民众生活的干扰，在施工的同时，留足缓冲过渡区，设置便民通道、便民台阶，做好安全防护，方便群众出行，最大程度缩短群众的影响周期，降低施工对周边居民</w:t>
            </w:r>
            <w:r>
              <w:rPr>
                <w:spacing w:val="3"/>
                <w:sz w:val="25"/>
                <w:szCs w:val="25"/>
              </w:rPr>
              <w:t>的影响。创新了近50种不扰民措施，如：</w:t>
            </w:r>
            <w:r>
              <w:rPr>
                <w:spacing w:val="6"/>
                <w:sz w:val="25"/>
                <w:szCs w:val="25"/>
              </w:rPr>
              <w:t>精细化测量与规划、低噪音设备的使用、</w:t>
            </w:r>
            <w:r>
              <w:rPr>
                <w:sz w:val="25"/>
                <w:szCs w:val="25"/>
              </w:rPr>
              <w:t>振动控制技术、水雾抑尘系统、夜间施工</w:t>
            </w:r>
          </w:p>
        </w:tc>
      </w:tr>
    </w:tbl>
    <w:p w14:paraId="1B76EA2E">
      <w:pPr>
        <w:rPr>
          <w:rFonts w:ascii="Arial"/>
          <w:sz w:val="21"/>
        </w:rPr>
      </w:pPr>
    </w:p>
    <w:p w14:paraId="7DE13537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840" w:h="16910"/>
          <w:pgMar w:top="1437" w:right="1347" w:bottom="1047" w:left="1385" w:header="0" w:footer="656" w:gutter="0"/>
          <w:cols w:space="720" w:num="1"/>
        </w:sectPr>
      </w:pPr>
    </w:p>
    <w:p w14:paraId="4DE9BEB1">
      <w:pPr>
        <w:spacing w:before="36"/>
      </w:pPr>
    </w:p>
    <w:tbl>
      <w:tblPr>
        <w:tblStyle w:val="5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2058"/>
        <w:gridCol w:w="4640"/>
      </w:tblGrid>
      <w:tr w14:paraId="2138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322" w:type="dxa"/>
            <w:vAlign w:val="top"/>
          </w:tcPr>
          <w:p w14:paraId="6997042B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45EA552E">
            <w:pPr>
              <w:rPr>
                <w:rFonts w:ascii="Arial"/>
                <w:sz w:val="21"/>
              </w:rPr>
            </w:pPr>
          </w:p>
        </w:tc>
        <w:tc>
          <w:tcPr>
            <w:tcW w:w="4640" w:type="dxa"/>
            <w:vAlign w:val="top"/>
          </w:tcPr>
          <w:p w14:paraId="2875806B">
            <w:pPr>
              <w:pStyle w:val="6"/>
              <w:spacing w:before="36" w:line="207" w:lineRule="auto"/>
              <w:ind w:left="105" w:right="35" w:firstLine="49"/>
              <w:jc w:val="both"/>
            </w:pPr>
            <w:r>
              <w:rPr>
                <w:spacing w:val="6"/>
              </w:rPr>
              <w:t>限制、施工通道规划、局部拆除与修复、</w:t>
            </w:r>
            <w:r>
              <w:rPr>
                <w:spacing w:val="3"/>
              </w:rPr>
              <w:t>施工区域封闭、精确搬运与运输、局部加固而非全拆重建、日间施工时间管理、绿</w:t>
            </w:r>
            <w:r>
              <w:t>色植被保护、定期与社区沟通等。</w:t>
            </w:r>
          </w:p>
        </w:tc>
      </w:tr>
      <w:tr w14:paraId="469C9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</w:trPr>
        <w:tc>
          <w:tcPr>
            <w:tcW w:w="2322" w:type="dxa"/>
            <w:vAlign w:val="top"/>
          </w:tcPr>
          <w:p w14:paraId="107ED589">
            <w:pPr>
              <w:spacing w:line="269" w:lineRule="auto"/>
              <w:rPr>
                <w:rFonts w:ascii="Arial"/>
                <w:sz w:val="21"/>
              </w:rPr>
            </w:pPr>
          </w:p>
          <w:p w14:paraId="5573386E">
            <w:pPr>
              <w:spacing w:line="269" w:lineRule="auto"/>
              <w:rPr>
                <w:rFonts w:ascii="Arial"/>
                <w:sz w:val="21"/>
              </w:rPr>
            </w:pPr>
          </w:p>
          <w:p w14:paraId="13032677">
            <w:pPr>
              <w:spacing w:line="269" w:lineRule="auto"/>
              <w:rPr>
                <w:rFonts w:ascii="Arial"/>
                <w:sz w:val="21"/>
              </w:rPr>
            </w:pPr>
          </w:p>
          <w:p w14:paraId="0BC01A07">
            <w:pPr>
              <w:spacing w:line="269" w:lineRule="auto"/>
              <w:rPr>
                <w:rFonts w:ascii="Arial"/>
                <w:sz w:val="21"/>
              </w:rPr>
            </w:pPr>
          </w:p>
          <w:p w14:paraId="4F3AFBC3">
            <w:pPr>
              <w:spacing w:line="269" w:lineRule="auto"/>
              <w:rPr>
                <w:rFonts w:ascii="Arial"/>
                <w:sz w:val="21"/>
              </w:rPr>
            </w:pPr>
          </w:p>
          <w:p w14:paraId="0FA422F7">
            <w:pPr>
              <w:pStyle w:val="6"/>
              <w:spacing w:before="78" w:line="226" w:lineRule="auto"/>
              <w:ind w:left="105" w:right="34"/>
            </w:pPr>
            <w:r>
              <w:rPr>
                <w:spacing w:val="1"/>
              </w:rPr>
              <w:t>五、保护活化利用实</w:t>
            </w:r>
            <w:r>
              <w:rPr>
                <w:spacing w:val="-2"/>
              </w:rPr>
              <w:t>施项目情况方面</w:t>
            </w:r>
          </w:p>
        </w:tc>
        <w:tc>
          <w:tcPr>
            <w:tcW w:w="2058" w:type="dxa"/>
            <w:vAlign w:val="top"/>
          </w:tcPr>
          <w:p w14:paraId="23E7CDF9">
            <w:pPr>
              <w:pStyle w:val="6"/>
              <w:spacing w:before="42" w:line="214" w:lineRule="auto"/>
              <w:ind w:left="142" w:right="235" w:hanging="19"/>
              <w:rPr>
                <w:spacing w:val="1"/>
              </w:rPr>
            </w:pPr>
          </w:p>
          <w:p w14:paraId="217EDFD6">
            <w:pPr>
              <w:pStyle w:val="6"/>
              <w:spacing w:before="42" w:line="214" w:lineRule="auto"/>
              <w:ind w:left="142" w:right="235" w:hanging="19"/>
              <w:rPr>
                <w:spacing w:val="1"/>
              </w:rPr>
            </w:pPr>
          </w:p>
          <w:p w14:paraId="65CD8124">
            <w:pPr>
              <w:pStyle w:val="6"/>
              <w:spacing w:before="42" w:line="214" w:lineRule="auto"/>
              <w:ind w:left="142" w:right="235" w:hanging="19"/>
              <w:rPr>
                <w:spacing w:val="1"/>
              </w:rPr>
            </w:pPr>
          </w:p>
          <w:p w14:paraId="1DC065BC">
            <w:pPr>
              <w:pStyle w:val="6"/>
              <w:spacing w:before="42" w:line="214" w:lineRule="auto"/>
              <w:ind w:left="142" w:right="235" w:hanging="19"/>
              <w:rPr>
                <w:spacing w:val="1"/>
              </w:rPr>
            </w:pPr>
          </w:p>
          <w:p w14:paraId="3F4589F8">
            <w:pPr>
              <w:pStyle w:val="6"/>
              <w:spacing w:before="42" w:line="214" w:lineRule="auto"/>
              <w:ind w:left="142" w:right="235" w:hanging="19"/>
            </w:pPr>
            <w:r>
              <w:rPr>
                <w:spacing w:val="1"/>
              </w:rPr>
              <w:t>打造传统村落集中连片示范县</w:t>
            </w:r>
          </w:p>
        </w:tc>
        <w:tc>
          <w:tcPr>
            <w:tcW w:w="4640" w:type="dxa"/>
            <w:vAlign w:val="top"/>
          </w:tcPr>
          <w:p w14:paraId="234E56D1">
            <w:pPr>
              <w:pStyle w:val="6"/>
              <w:spacing w:before="38" w:line="216" w:lineRule="auto"/>
              <w:ind w:left="95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永春县编制《永春县历史风貌保护规划》</w:t>
            </w:r>
            <w:r>
              <w:rPr>
                <w:rFonts w:hint="eastAsia"/>
                <w:spacing w:val="3"/>
                <w:lang w:eastAsia="zh-CN"/>
              </w:rPr>
              <w:t>，</w:t>
            </w:r>
          </w:p>
          <w:p w14:paraId="526E745D">
            <w:pPr>
              <w:pStyle w:val="6"/>
              <w:spacing w:before="11" w:line="213" w:lineRule="auto"/>
              <w:ind w:left="125" w:right="109" w:firstLine="30"/>
            </w:pPr>
            <w:r>
              <w:rPr>
                <w:spacing w:val="2"/>
              </w:rPr>
              <w:t>谋划形成传统村落集中连片保护利用项目</w:t>
            </w:r>
            <w:r>
              <w:rPr>
                <w:spacing w:val="3"/>
              </w:rPr>
              <w:t>清单，计划投资2.3亿元，其中2024年计</w:t>
            </w:r>
            <w:r>
              <w:t>划投资1亿元，省级补助资金1500万元，</w:t>
            </w:r>
          </w:p>
          <w:p w14:paraId="1841F12E">
            <w:pPr>
              <w:pStyle w:val="6"/>
              <w:spacing w:line="215" w:lineRule="auto"/>
              <w:ind w:left="114"/>
            </w:pPr>
            <w:r>
              <w:t>市县级配套资金2.15亿元，计划实施26</w:t>
            </w:r>
          </w:p>
          <w:p w14:paraId="7D56DD27">
            <w:pPr>
              <w:pStyle w:val="6"/>
              <w:spacing w:before="5" w:line="218" w:lineRule="auto"/>
              <w:ind w:left="155" w:right="34"/>
            </w:pPr>
            <w:r>
              <w:t>个保护利用示范项目。现已完成全域旅游</w:t>
            </w:r>
            <w:r>
              <w:rPr>
                <w:spacing w:val="4"/>
              </w:rPr>
              <w:t>配套基础设施建设等5个项目，正在开展</w:t>
            </w:r>
            <w:r>
              <w:t>咕山镇古厝修缮活化利用等25个项目，投资额达9800万元，占年度计划投资额98%。</w:t>
            </w:r>
          </w:p>
          <w:p w14:paraId="042149D9">
            <w:pPr>
              <w:pStyle w:val="6"/>
              <w:spacing w:line="199" w:lineRule="auto"/>
              <w:ind w:left="95" w:right="75"/>
              <w:jc w:val="both"/>
            </w:pPr>
            <w:r>
              <w:t>目前已形成仙夹-岐山-五里街、桃城花石-</w:t>
            </w:r>
            <w:r>
              <w:rPr>
                <w:spacing w:val="1"/>
              </w:rPr>
              <w:t>东关、蓬壶-达埔三条示范路线，将原本相对独立的传统村落进行串联整合。</w:t>
            </w:r>
          </w:p>
        </w:tc>
      </w:tr>
    </w:tbl>
    <w:p w14:paraId="4618FDA1">
      <w:pPr>
        <w:rPr>
          <w:rFonts w:ascii="Arial"/>
          <w:sz w:val="21"/>
        </w:rPr>
      </w:pPr>
    </w:p>
    <w:sectPr>
      <w:footerReference r:id="rId7" w:type="default"/>
      <w:pgSz w:w="11820" w:h="16910"/>
      <w:pgMar w:top="1437" w:right="1394" w:bottom="1019" w:left="1394" w:header="0" w:footer="6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9CAB0">
    <w:pPr>
      <w:pStyle w:val="2"/>
      <w:spacing w:line="233" w:lineRule="auto"/>
      <w:ind w:left="7774"/>
      <w:rPr>
        <w:sz w:val="29"/>
        <w:szCs w:val="29"/>
      </w:rPr>
    </w:pPr>
    <w:r>
      <w:rPr>
        <w:spacing w:val="-3"/>
        <w:sz w:val="29"/>
        <w:szCs w:val="29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6399">
    <w:pPr>
      <w:pStyle w:val="2"/>
      <w:spacing w:before="1" w:line="234" w:lineRule="auto"/>
      <w:ind w:left="85"/>
      <w:rPr>
        <w:sz w:val="30"/>
        <w:szCs w:val="30"/>
      </w:rPr>
    </w:pPr>
    <w:r>
      <w:rPr>
        <w:spacing w:val="-8"/>
        <w:sz w:val="30"/>
        <w:szCs w:val="30"/>
      </w:rPr>
      <w:t>—14—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40932">
    <w:pPr>
      <w:pStyle w:val="2"/>
      <w:spacing w:line="233" w:lineRule="auto"/>
      <w:ind w:left="7855"/>
      <w:rPr>
        <w:sz w:val="29"/>
        <w:szCs w:val="29"/>
      </w:rPr>
    </w:pPr>
    <w:r>
      <w:rPr>
        <w:spacing w:val="-3"/>
        <w:sz w:val="29"/>
        <w:szCs w:val="29"/>
      </w:rPr>
      <w:t>—15—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BA77FC"/>
    <w:rsid w:val="6F7E9E27"/>
    <w:rsid w:val="7F17A085"/>
    <w:rsid w:val="B5E7E60B"/>
    <w:rsid w:val="EFE7ADE5"/>
    <w:rsid w:val="FFAE394C"/>
    <w:rsid w:val="FFBC4F33"/>
    <w:rsid w:val="FFFEB345"/>
    <w:rsid w:val="FFFF4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3"/>
      <w:szCs w:val="9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6896</Words>
  <Characters>7202</Characters>
  <TotalTime>33</TotalTime>
  <ScaleCrop>false</ScaleCrop>
  <LinksUpToDate>false</LinksUpToDate>
  <CharactersWithSpaces>7202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2025-04-29T06:54:00Z</dcterms:created>
  <dc:creator>user</dc:creator>
  <cp:lastModifiedBy>Administrator</cp:lastModifiedBy>
  <dcterms:modified xsi:type="dcterms:W3CDTF">2025-04-29T07:30:39Z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2025-04-28T14:54:53Z</vt:filetime>
  </property>
  <property fmtid="{D5CDD505-2E9C-101B-9397-08002B2CF9AE}" pid="4" name="UsrData">
    <vt:lpwstr>680f26381ddca0001f8a7dc6wl</vt:lpwstr>
  </property>
  <property fmtid="{D5CDD505-2E9C-101B-9397-08002B2CF9AE}" pid="5" name="KSOProductBuildVer">
    <vt:lpwstr>2052-12.1.0.20784</vt:lpwstr>
  </property>
  <property fmtid="{D5CDD505-2E9C-101B-9397-08002B2CF9AE}" pid="6" name="ICV">
    <vt:lpwstr>5D09B81A4DC74EF7BA50996288658984_13</vt:lpwstr>
  </property>
  <property fmtid="{D5CDD505-2E9C-101B-9397-08002B2CF9AE}" pid="7" name="KSOTemplateDocerSaveRecord">
    <vt:lpwstr>eyJoZGlkIjoiYmI0Y2IwMWQxYzhjZDU3NzhkYjEwMTRmMTg2OTY1N2IifQ==</vt:lpwstr>
  </property>
</Properties>
</file>