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7E" w:rsidRDefault="00DD6E48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Hlk61993738"/>
      <w:r>
        <w:rPr>
          <w:rFonts w:ascii="黑体" w:eastAsia="黑体" w:hAnsi="黑体" w:hint="eastAsia"/>
          <w:b/>
          <w:bCs/>
          <w:sz w:val="36"/>
          <w:szCs w:val="36"/>
        </w:rPr>
        <w:t>关于《泉州市历史文化名城保护条例（征求意见稿）》</w:t>
      </w:r>
    </w:p>
    <w:p w:rsidR="00DF3E7E" w:rsidRDefault="00DD6E4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起草</w:t>
      </w:r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t>说明</w:t>
      </w:r>
    </w:p>
    <w:p w:rsidR="00DF3E7E" w:rsidRDefault="00DD6E48">
      <w:pPr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（泉州市住房</w:t>
      </w:r>
      <w:r w:rsidR="009206D8">
        <w:rPr>
          <w:rFonts w:ascii="楷体" w:eastAsia="楷体" w:hAnsi="楷体" w:hint="eastAsia"/>
          <w:sz w:val="30"/>
          <w:szCs w:val="30"/>
        </w:rPr>
        <w:t>和</w:t>
      </w:r>
      <w:r>
        <w:rPr>
          <w:rFonts w:ascii="楷体" w:eastAsia="楷体" w:hAnsi="楷体" w:hint="eastAsia"/>
          <w:sz w:val="30"/>
          <w:szCs w:val="30"/>
        </w:rPr>
        <w:t>城乡建设局）</w:t>
      </w:r>
    </w:p>
    <w:p w:rsidR="00DF3E7E" w:rsidRDefault="00DF3E7E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根据泉州市人大常委会</w:t>
      </w:r>
      <w:r>
        <w:rPr>
          <w:rFonts w:ascii="宋体" w:eastAsia="宋体" w:hAnsi="宋体" w:hint="eastAsia"/>
          <w:sz w:val="30"/>
          <w:szCs w:val="30"/>
        </w:rPr>
        <w:t>2021</w:t>
      </w:r>
      <w:r>
        <w:rPr>
          <w:rFonts w:ascii="宋体" w:eastAsia="宋体" w:hAnsi="宋体" w:hint="eastAsia"/>
          <w:sz w:val="30"/>
          <w:szCs w:val="30"/>
        </w:rPr>
        <w:t>年立法计划，《泉州</w:t>
      </w:r>
      <w:r>
        <w:rPr>
          <w:rFonts w:ascii="宋体" w:eastAsia="宋体" w:hAnsi="宋体" w:hint="eastAsia"/>
          <w:sz w:val="30"/>
          <w:szCs w:val="30"/>
        </w:rPr>
        <w:t>市</w:t>
      </w:r>
      <w:r>
        <w:rPr>
          <w:rFonts w:ascii="宋体" w:eastAsia="宋体" w:hAnsi="宋体" w:hint="eastAsia"/>
          <w:sz w:val="30"/>
          <w:szCs w:val="30"/>
        </w:rPr>
        <w:t>历史文化名城保护条例》是</w:t>
      </w:r>
      <w:r>
        <w:rPr>
          <w:rFonts w:ascii="宋体" w:eastAsia="宋体" w:hAnsi="宋体" w:hint="eastAsia"/>
          <w:sz w:val="30"/>
          <w:szCs w:val="30"/>
        </w:rPr>
        <w:t>2021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审议</w:t>
      </w:r>
      <w:r>
        <w:rPr>
          <w:rFonts w:ascii="宋体" w:eastAsia="宋体" w:hAnsi="宋体" w:hint="eastAsia"/>
          <w:sz w:val="30"/>
          <w:szCs w:val="30"/>
        </w:rPr>
        <w:t>项目，泉州市住房和城乡建设局作为牵头起草单位。现将有关起草情况说明如下：</w:t>
      </w:r>
    </w:p>
    <w:p w:rsidR="00DF3E7E" w:rsidRDefault="00DD6E4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一、立法依据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根据《中华人民共和国城乡规划法》《中华人民共和国文物保护法》《历史文化名城名镇名村保护条例》等有关法律法规，结合本市实际情况，制定本条例。</w:t>
      </w:r>
    </w:p>
    <w:p w:rsidR="00DF3E7E" w:rsidRDefault="00DD6E4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二、立法背景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泉州是</w:t>
      </w:r>
      <w:r>
        <w:rPr>
          <w:rFonts w:ascii="宋体" w:eastAsia="宋体" w:hAnsi="宋体" w:hint="eastAsia"/>
          <w:sz w:val="30"/>
          <w:szCs w:val="30"/>
        </w:rPr>
        <w:t>1982</w:t>
      </w:r>
      <w:r>
        <w:rPr>
          <w:rFonts w:ascii="宋体" w:eastAsia="宋体" w:hAnsi="宋体" w:hint="eastAsia"/>
          <w:sz w:val="30"/>
          <w:szCs w:val="30"/>
        </w:rPr>
        <w:t>年公布的首批全国历史文化名城之一，早在</w:t>
      </w:r>
      <w:hyperlink r:id="rId7" w:tgtFrame="_blank" w:history="1">
        <w:r>
          <w:rPr>
            <w:rFonts w:ascii="宋体" w:eastAsia="宋体" w:hAnsi="宋体" w:hint="eastAsia"/>
            <w:sz w:val="30"/>
            <w:szCs w:val="30"/>
          </w:rPr>
          <w:t>周</w:t>
        </w:r>
      </w:hyperlink>
      <w:hyperlink r:id="rId8" w:tgtFrame="_blank" w:history="1">
        <w:r>
          <w:rPr>
            <w:rFonts w:ascii="宋体" w:eastAsia="宋体" w:hAnsi="宋体" w:hint="eastAsia"/>
            <w:sz w:val="30"/>
            <w:szCs w:val="30"/>
          </w:rPr>
          <w:t>秦</w:t>
        </w:r>
      </w:hyperlink>
      <w:r>
        <w:rPr>
          <w:rFonts w:ascii="宋体" w:eastAsia="宋体" w:hAnsi="宋体" w:hint="eastAsia"/>
          <w:sz w:val="30"/>
          <w:szCs w:val="30"/>
        </w:rPr>
        <w:t>时期便已开始</w:t>
      </w:r>
      <w:r>
        <w:rPr>
          <w:rFonts w:ascii="宋体" w:eastAsia="宋体" w:hAnsi="宋体"/>
          <w:sz w:val="30"/>
          <w:szCs w:val="30"/>
        </w:rPr>
        <w:t>经济开发</w:t>
      </w:r>
      <w:r>
        <w:rPr>
          <w:rFonts w:ascii="宋体" w:eastAsia="宋体" w:hAnsi="宋体" w:hint="eastAsia"/>
          <w:sz w:val="30"/>
          <w:szCs w:val="30"/>
        </w:rPr>
        <w:t>，</w:t>
      </w:r>
      <w:hyperlink r:id="rId9" w:tgtFrame="_blank" w:history="1">
        <w:r>
          <w:rPr>
            <w:rFonts w:ascii="宋体" w:eastAsia="宋体" w:hAnsi="宋体" w:hint="eastAsia"/>
            <w:sz w:val="30"/>
            <w:szCs w:val="30"/>
          </w:rPr>
          <w:t>宋</w:t>
        </w:r>
      </w:hyperlink>
      <w:hyperlink r:id="rId10" w:tgtFrame="_blank" w:history="1">
        <w:r>
          <w:rPr>
            <w:rFonts w:ascii="宋体" w:eastAsia="宋体" w:hAnsi="宋体" w:hint="eastAsia"/>
            <w:sz w:val="30"/>
            <w:szCs w:val="30"/>
          </w:rPr>
          <w:t>元</w:t>
        </w:r>
      </w:hyperlink>
      <w:r>
        <w:rPr>
          <w:rFonts w:ascii="宋体" w:eastAsia="宋体" w:hAnsi="宋体" w:hint="eastAsia"/>
          <w:sz w:val="30"/>
          <w:szCs w:val="30"/>
        </w:rPr>
        <w:t>时期一度成为世界第一大港，是</w:t>
      </w:r>
      <w:hyperlink r:id="rId11" w:tgtFrame="_blank" w:history="1">
        <w:r>
          <w:rPr>
            <w:rFonts w:ascii="宋体" w:eastAsia="宋体" w:hAnsi="宋体"/>
            <w:sz w:val="30"/>
            <w:szCs w:val="30"/>
          </w:rPr>
          <w:t>联合国</w:t>
        </w:r>
      </w:hyperlink>
      <w:r>
        <w:rPr>
          <w:rFonts w:ascii="宋体" w:eastAsia="宋体" w:hAnsi="宋体"/>
          <w:sz w:val="30"/>
          <w:szCs w:val="30"/>
        </w:rPr>
        <w:t>唯一认定的</w:t>
      </w:r>
      <w:hyperlink r:id="rId12" w:tgtFrame="_blank" w:history="1">
        <w:r>
          <w:rPr>
            <w:rFonts w:ascii="宋体" w:eastAsia="宋体" w:hAnsi="宋体"/>
            <w:sz w:val="30"/>
            <w:szCs w:val="30"/>
          </w:rPr>
          <w:t>海上丝绸之路</w:t>
        </w:r>
      </w:hyperlink>
      <w:r>
        <w:rPr>
          <w:rFonts w:ascii="宋体" w:eastAsia="宋体" w:hAnsi="宋体"/>
          <w:sz w:val="30"/>
          <w:szCs w:val="30"/>
        </w:rPr>
        <w:t>起点</w:t>
      </w:r>
      <w:r>
        <w:rPr>
          <w:rFonts w:ascii="宋体" w:eastAsia="宋体" w:hAnsi="宋体" w:hint="eastAsia"/>
          <w:sz w:val="30"/>
          <w:szCs w:val="30"/>
        </w:rPr>
        <w:t>。泉州文化底蕴丰厚，素有</w:t>
      </w:r>
      <w:r>
        <w:rPr>
          <w:rFonts w:ascii="宋体" w:eastAsia="宋体" w:hAnsi="宋体"/>
          <w:sz w:val="30"/>
          <w:szCs w:val="30"/>
        </w:rPr>
        <w:t>“</w:t>
      </w:r>
      <w:hyperlink r:id="rId13" w:tgtFrame="_blank" w:history="1">
        <w:r>
          <w:rPr>
            <w:rFonts w:ascii="宋体" w:eastAsia="宋体" w:hAnsi="宋体" w:hint="eastAsia"/>
            <w:sz w:val="30"/>
            <w:szCs w:val="30"/>
          </w:rPr>
          <w:t>海滨邹鲁</w:t>
        </w:r>
      </w:hyperlink>
      <w:r>
        <w:rPr>
          <w:rFonts w:ascii="宋体" w:eastAsia="宋体" w:hAnsi="宋体"/>
          <w:sz w:val="30"/>
          <w:szCs w:val="30"/>
        </w:rPr>
        <w:t>”</w:t>
      </w:r>
      <w:r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/>
          <w:sz w:val="30"/>
          <w:szCs w:val="30"/>
        </w:rPr>
        <w:t>“</w:t>
      </w:r>
      <w:r>
        <w:rPr>
          <w:rFonts w:ascii="宋体" w:eastAsia="宋体" w:hAnsi="宋体" w:hint="eastAsia"/>
          <w:sz w:val="30"/>
          <w:szCs w:val="30"/>
        </w:rPr>
        <w:t>世界宗教博物馆</w:t>
      </w:r>
      <w:r>
        <w:rPr>
          <w:rFonts w:ascii="宋体" w:eastAsia="宋体" w:hAnsi="宋体"/>
          <w:sz w:val="30"/>
          <w:szCs w:val="30"/>
        </w:rPr>
        <w:t>”</w:t>
      </w:r>
      <w:r>
        <w:rPr>
          <w:rFonts w:ascii="宋体" w:eastAsia="宋体" w:hAnsi="宋体" w:hint="eastAsia"/>
          <w:sz w:val="30"/>
          <w:szCs w:val="30"/>
        </w:rPr>
        <w:t>的美誉，是首届</w:t>
      </w:r>
      <w:hyperlink r:id="rId14" w:tgtFrame="_blank" w:history="1">
        <w:r>
          <w:rPr>
            <w:rFonts w:ascii="宋体" w:eastAsia="宋体" w:hAnsi="宋体" w:hint="eastAsia"/>
            <w:sz w:val="30"/>
            <w:szCs w:val="30"/>
          </w:rPr>
          <w:t>东亚文化之都</w:t>
        </w:r>
      </w:hyperlink>
      <w:r>
        <w:rPr>
          <w:rFonts w:ascii="宋体" w:eastAsia="宋体" w:hAnsi="宋体" w:hint="eastAsia"/>
          <w:sz w:val="30"/>
          <w:szCs w:val="30"/>
        </w:rPr>
        <w:t>。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历史文化名城范围内的两横一纵双十字轴、鲤鱼形态的城垣形制，叠水穿城、园林密布的城市山水格局，双塔制高的空间视廊和街道对景，平缓开阔的空间形态，交错的街巷格局和传统建筑色彩和形态特征等均得到较完整的保存。现市域内有</w:t>
      </w:r>
      <w:r>
        <w:rPr>
          <w:rFonts w:ascii="宋体" w:eastAsia="宋体" w:hAnsi="宋体" w:hint="eastAsia"/>
          <w:sz w:val="30"/>
          <w:szCs w:val="30"/>
        </w:rPr>
        <w:t>8</w:t>
      </w:r>
      <w:r>
        <w:rPr>
          <w:rFonts w:ascii="宋体" w:eastAsia="宋体" w:hAnsi="宋体" w:hint="eastAsia"/>
          <w:sz w:val="30"/>
          <w:szCs w:val="30"/>
        </w:rPr>
        <w:t>处历史文化街区，</w:t>
      </w:r>
      <w:r>
        <w:rPr>
          <w:rFonts w:ascii="宋体" w:eastAsia="宋体" w:hAnsi="宋体" w:hint="eastAsia"/>
          <w:sz w:val="30"/>
          <w:szCs w:val="30"/>
        </w:rPr>
        <w:t>21</w:t>
      </w:r>
      <w:r>
        <w:rPr>
          <w:rFonts w:ascii="宋体" w:eastAsia="宋体" w:hAnsi="宋体" w:hint="eastAsia"/>
          <w:sz w:val="30"/>
          <w:szCs w:val="30"/>
        </w:rPr>
        <w:t>处风貌保护区，</w:t>
      </w:r>
      <w:r>
        <w:rPr>
          <w:rFonts w:ascii="宋体" w:eastAsia="宋体" w:hAnsi="宋体" w:hint="eastAsia"/>
          <w:sz w:val="30"/>
          <w:szCs w:val="30"/>
        </w:rPr>
        <w:t>81</w:t>
      </w:r>
      <w:r>
        <w:rPr>
          <w:rFonts w:ascii="宋体" w:eastAsia="宋体" w:hAnsi="宋体" w:hint="eastAsia"/>
          <w:sz w:val="30"/>
          <w:szCs w:val="30"/>
        </w:rPr>
        <w:t>处文物保护单位，已公布历史</w:t>
      </w:r>
      <w:r>
        <w:rPr>
          <w:rFonts w:ascii="宋体" w:eastAsia="宋体" w:hAnsi="宋体" w:hint="eastAsia"/>
          <w:sz w:val="30"/>
          <w:szCs w:val="30"/>
        </w:rPr>
        <w:lastRenderedPageBreak/>
        <w:t>建筑</w:t>
      </w:r>
      <w:r>
        <w:rPr>
          <w:rFonts w:ascii="宋体" w:eastAsia="宋体" w:hAnsi="宋体" w:hint="eastAsia"/>
          <w:sz w:val="30"/>
          <w:szCs w:val="30"/>
        </w:rPr>
        <w:t>1583</w:t>
      </w:r>
      <w:r>
        <w:rPr>
          <w:rFonts w:ascii="宋体" w:eastAsia="宋体" w:hAnsi="宋体" w:hint="eastAsia"/>
          <w:sz w:val="30"/>
          <w:szCs w:val="30"/>
        </w:rPr>
        <w:t>处，国家级非物质文化遗产</w:t>
      </w:r>
      <w:r>
        <w:rPr>
          <w:rFonts w:ascii="宋体" w:eastAsia="宋体" w:hAnsi="宋体"/>
          <w:sz w:val="30"/>
          <w:szCs w:val="30"/>
        </w:rPr>
        <w:t>34</w:t>
      </w:r>
      <w:r>
        <w:rPr>
          <w:rFonts w:ascii="宋体" w:eastAsia="宋体" w:hAnsi="宋体" w:hint="eastAsia"/>
          <w:sz w:val="30"/>
          <w:szCs w:val="30"/>
        </w:rPr>
        <w:t>项，其中</w:t>
      </w:r>
      <w:r>
        <w:rPr>
          <w:rFonts w:ascii="宋体" w:eastAsia="宋体" w:hAnsi="宋体" w:hint="eastAsia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项（泉州南音、提线木偶戏、中国传统木结构营造技艺、水密隔舱福船制造技艺）严格履行联合国教科文组</w:t>
      </w:r>
      <w:r>
        <w:rPr>
          <w:rFonts w:ascii="宋体" w:eastAsia="宋体" w:hAnsi="宋体" w:hint="eastAsia"/>
          <w:sz w:val="30"/>
          <w:szCs w:val="30"/>
        </w:rPr>
        <w:t>织《保护非物质文化遗产公约》。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丰厚的历史文化遗产是泉州市重要的城市名片，但保护传承好历史文化遗产需要科学指引、法制保障。在宋元中国的世界海洋商贸中心申请世界文化遗产之际，急需制订一部地方性法规以全方位地推动泉州历史文化名城的保护，加强对于历史文化资源的弘扬与传承，提升群众对于遗产保护和名城保护的认知与主动性。</w:t>
      </w:r>
    </w:p>
    <w:p w:rsidR="00DF3E7E" w:rsidRDefault="00DD6E4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二、编制过程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2020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12</w:t>
      </w:r>
      <w:r>
        <w:rPr>
          <w:rFonts w:ascii="宋体" w:eastAsia="宋体" w:hAnsi="宋体" w:hint="eastAsia"/>
          <w:sz w:val="30"/>
          <w:szCs w:val="30"/>
        </w:rPr>
        <w:t>月，市住建局条例起草团队经过资料收集、实地考察、座谈调研等立法调研工作，形成《泉州</w:t>
      </w:r>
      <w:r>
        <w:rPr>
          <w:rFonts w:ascii="宋体" w:eastAsia="宋体" w:hAnsi="宋体" w:hint="eastAsia"/>
          <w:sz w:val="30"/>
          <w:szCs w:val="30"/>
        </w:rPr>
        <w:t>市</w:t>
      </w:r>
      <w:r>
        <w:rPr>
          <w:rFonts w:ascii="宋体" w:eastAsia="宋体" w:hAnsi="宋体" w:hint="eastAsia"/>
          <w:sz w:val="30"/>
          <w:szCs w:val="30"/>
        </w:rPr>
        <w:t>历史文化名城保护条例（草案稿）》。</w:t>
      </w:r>
      <w:r>
        <w:rPr>
          <w:rFonts w:ascii="宋体" w:eastAsia="宋体" w:hAnsi="宋体" w:hint="eastAsia"/>
          <w:sz w:val="30"/>
          <w:szCs w:val="30"/>
        </w:rPr>
        <w:t>2021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1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18</w:t>
      </w:r>
      <w:r>
        <w:rPr>
          <w:rFonts w:ascii="宋体" w:eastAsia="宋体" w:hAnsi="宋体" w:hint="eastAsia"/>
          <w:sz w:val="30"/>
          <w:szCs w:val="30"/>
        </w:rPr>
        <w:t>日，组织召开评审会议，邀请邀请相关</w:t>
      </w:r>
      <w:r>
        <w:rPr>
          <w:rFonts w:ascii="宋体" w:eastAsia="宋体" w:hAnsi="宋体" w:hint="eastAsia"/>
          <w:sz w:val="30"/>
          <w:szCs w:val="30"/>
        </w:rPr>
        <w:t>管理部门的分管领导和业务负责人、鲤城区社区代表参加；</w:t>
      </w:r>
      <w:r>
        <w:rPr>
          <w:rFonts w:ascii="宋体" w:eastAsia="宋体" w:hAnsi="宋体" w:hint="eastAsia"/>
          <w:sz w:val="30"/>
          <w:szCs w:val="30"/>
        </w:rPr>
        <w:t xml:space="preserve"> 2021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19</w:t>
      </w:r>
      <w:r>
        <w:rPr>
          <w:rFonts w:ascii="宋体" w:eastAsia="宋体" w:hAnsi="宋体" w:hint="eastAsia"/>
          <w:sz w:val="30"/>
          <w:szCs w:val="30"/>
        </w:rPr>
        <w:t>日，市住建局通过泉州政务等网络平台发放《泉州</w:t>
      </w:r>
      <w:r>
        <w:rPr>
          <w:rFonts w:ascii="宋体" w:eastAsia="宋体" w:hAnsi="宋体" w:hint="eastAsia"/>
          <w:sz w:val="30"/>
          <w:szCs w:val="30"/>
        </w:rPr>
        <w:t>市</w:t>
      </w:r>
      <w:r>
        <w:rPr>
          <w:rFonts w:ascii="宋体" w:eastAsia="宋体" w:hAnsi="宋体" w:hint="eastAsia"/>
          <w:sz w:val="30"/>
          <w:szCs w:val="30"/>
        </w:rPr>
        <w:t>历史文化名城保护条例》立法起草工作问卷调查，广泛征求群众关于历史文化名城保护的意见建议。经过多次认真修改，完成了《条例（征求意见稿）》</w:t>
      </w:r>
      <w:r>
        <w:rPr>
          <w:rFonts w:ascii="宋体" w:eastAsia="宋体" w:hAnsi="宋体" w:hint="eastAsia"/>
          <w:sz w:val="30"/>
          <w:szCs w:val="30"/>
        </w:rPr>
        <w:t>。</w:t>
      </w:r>
    </w:p>
    <w:p w:rsidR="00DF3E7E" w:rsidRDefault="00DD6E48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三、《条例》主要内容</w:t>
      </w:r>
    </w:p>
    <w:p w:rsidR="00DF3E7E" w:rsidRDefault="00DD6E48">
      <w:pPr>
        <w:ind w:firstLineChars="200" w:firstLine="643"/>
        <w:rPr>
          <w:rFonts w:ascii="宋体" w:eastAsia="宋体" w:hAnsi="宋体"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(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一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)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关于《条例》的体例。</w:t>
      </w:r>
      <w:r>
        <w:rPr>
          <w:rFonts w:ascii="宋体" w:eastAsia="宋体" w:hAnsi="宋体" w:hint="eastAsia"/>
          <w:sz w:val="30"/>
          <w:szCs w:val="30"/>
        </w:rPr>
        <w:t>《条例》编制的总体思路是：针对泉州市在历史文化名城保护管理工作中存在的突出问题，力求体现地方特色，解决地方问题；同时根据上位法最新立法理念</w:t>
      </w:r>
      <w:r>
        <w:rPr>
          <w:rFonts w:ascii="宋体" w:eastAsia="宋体" w:hAnsi="宋体" w:hint="eastAsia"/>
          <w:sz w:val="30"/>
          <w:szCs w:val="30"/>
        </w:rPr>
        <w:lastRenderedPageBreak/>
        <w:t>和法律制度进行具体条文设计。通过明确管理机构和职责分工、制定保护名录、编制保护规划、确定具体保护措施、活化利用、设定各种违反条例行为的法律责任等，《条例》（</w:t>
      </w:r>
      <w:r>
        <w:rPr>
          <w:rFonts w:ascii="宋体" w:eastAsia="宋体" w:hAnsi="宋体" w:hint="eastAsia"/>
          <w:sz w:val="30"/>
          <w:szCs w:val="30"/>
        </w:rPr>
        <w:t>征求</w:t>
      </w:r>
      <w:r>
        <w:rPr>
          <w:rFonts w:ascii="宋体" w:eastAsia="宋体" w:hAnsi="宋体" w:hint="eastAsia"/>
          <w:sz w:val="30"/>
          <w:szCs w:val="30"/>
        </w:rPr>
        <w:t>意见稿）分为七</w:t>
      </w:r>
      <w:r>
        <w:rPr>
          <w:rFonts w:ascii="宋体" w:eastAsia="宋体" w:hAnsi="宋体"/>
          <w:sz w:val="30"/>
          <w:szCs w:val="30"/>
        </w:rPr>
        <w:t>章，</w:t>
      </w:r>
      <w:r>
        <w:rPr>
          <w:rFonts w:ascii="宋体" w:eastAsia="宋体" w:hAnsi="宋体" w:hint="eastAsia"/>
          <w:sz w:val="30"/>
          <w:szCs w:val="30"/>
        </w:rPr>
        <w:t>共</w:t>
      </w:r>
      <w:r>
        <w:rPr>
          <w:rFonts w:ascii="宋体" w:eastAsia="宋体" w:hAnsi="宋体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个条文。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第一章“总则”共</w:t>
      </w:r>
      <w:r>
        <w:rPr>
          <w:rFonts w:ascii="宋体" w:eastAsia="宋体" w:hAnsi="宋体"/>
          <w:b/>
          <w:bCs/>
          <w:sz w:val="30"/>
          <w:szCs w:val="30"/>
        </w:rPr>
        <w:t>1</w:t>
      </w:r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主要明确立法目的、适用范围、保护对象、保护原则、各级政府及基层组织职责、各部门职责、评估及监督、政府保护资金、全社会责任和权利、公众参与、宣传教育等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第二章“保护内容”共</w:t>
      </w:r>
      <w:r>
        <w:rPr>
          <w:rFonts w:ascii="宋体" w:eastAsia="宋体" w:hAnsi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主要明确保护内容、认定标准、保护名录、保护名录制定标准及程序、保护名录调整程序、预保护机制等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第三章“保护规划”共</w:t>
      </w:r>
      <w:r>
        <w:rPr>
          <w:rFonts w:ascii="宋体" w:eastAsia="宋体" w:hAnsi="宋体"/>
          <w:b/>
          <w:bCs/>
          <w:sz w:val="30"/>
          <w:szCs w:val="30"/>
        </w:rPr>
        <w:t>4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主要明确保护规划体系、保护规划编制流程、保护规划编制内容、保护规划调整流程等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第四章“保护措施”共</w:t>
      </w:r>
      <w:r>
        <w:rPr>
          <w:rFonts w:ascii="宋体" w:eastAsia="宋体" w:hAnsi="宋体" w:hint="eastAsia"/>
          <w:b/>
          <w:bCs/>
          <w:sz w:val="30"/>
          <w:szCs w:val="30"/>
        </w:rPr>
        <w:t>18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主要明确保护责任人制度、历史城区保护责任人责任、</w:t>
      </w:r>
      <w:r>
        <w:rPr>
          <w:rFonts w:ascii="宋体" w:eastAsia="宋体" w:hAnsi="宋体"/>
          <w:sz w:val="30"/>
          <w:szCs w:val="30"/>
        </w:rPr>
        <w:t>历史文化街区、名镇、名村和传统村落保护责任人责任</w:t>
      </w:r>
      <w:r>
        <w:rPr>
          <w:rFonts w:ascii="宋体" w:eastAsia="宋体" w:hAnsi="宋体" w:hint="eastAsia"/>
          <w:sz w:val="30"/>
          <w:szCs w:val="30"/>
        </w:rPr>
        <w:t>、历史建筑及传统风貌建筑保护责任人责任、划定保护范围、保护范围内允许建设行为、保护范围内禁止建设行为、建设活动审批流程、历史建筑保护图则、历史建</w:t>
      </w:r>
      <w:r>
        <w:rPr>
          <w:rFonts w:ascii="宋体" w:eastAsia="宋体" w:hAnsi="宋体" w:hint="eastAsia"/>
          <w:sz w:val="30"/>
          <w:szCs w:val="30"/>
        </w:rPr>
        <w:t>筑修缮、历史建筑迁移、拆除、公众权益保障、征收审批条件及程序、保护标志、传统地名、传统建筑工匠培育、数字化监管、特殊标准和规范等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第五章“保护利用”共</w:t>
      </w:r>
      <w:r>
        <w:rPr>
          <w:rFonts w:ascii="宋体" w:eastAsia="宋体" w:hAnsi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主要明确保护利用基本原</w:t>
      </w:r>
      <w:r>
        <w:rPr>
          <w:rFonts w:ascii="宋体" w:eastAsia="宋体" w:hAnsi="宋体" w:hint="eastAsia"/>
          <w:sz w:val="30"/>
          <w:szCs w:val="30"/>
        </w:rPr>
        <w:lastRenderedPageBreak/>
        <w:t>则、保护利用引导、保护类项目规划综合实施方案、促进历史建筑及传统风貌建筑合理利用、社会资本参与国有历史建筑保护、原住民保护、居住条件改善与传统文化传承等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第六章“法律责任”共</w:t>
      </w:r>
      <w:r>
        <w:rPr>
          <w:rFonts w:ascii="宋体" w:eastAsia="宋体" w:hAnsi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主要明确未经批准进行建设活动的法律责任、保护责任人违反管理、修缮义务的法律责任、擅自设置、损毁或者非法移动、拆除、涂改、遮挡保护标志的法律责任</w:t>
      </w:r>
      <w:r>
        <w:rPr>
          <w:rFonts w:ascii="宋体" w:eastAsia="宋体" w:hAnsi="宋体" w:hint="eastAsia"/>
          <w:sz w:val="30"/>
          <w:szCs w:val="30"/>
        </w:rPr>
        <w:t>、违法迁移、拆除历史建筑的法律责任、国家机关及其有关工作人员法律责任、其他等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第七章“附则”共</w:t>
      </w:r>
      <w:r>
        <w:rPr>
          <w:rFonts w:ascii="宋体" w:eastAsia="宋体" w:hAnsi="宋体"/>
          <w:b/>
          <w:bCs/>
          <w:sz w:val="30"/>
          <w:szCs w:val="30"/>
        </w:rPr>
        <w:t>1</w:t>
      </w:r>
      <w:r>
        <w:rPr>
          <w:rFonts w:ascii="宋体" w:eastAsia="宋体" w:hAnsi="宋体" w:hint="eastAsia"/>
          <w:b/>
          <w:bCs/>
          <w:sz w:val="30"/>
          <w:szCs w:val="30"/>
        </w:rPr>
        <w:t>个条文，</w:t>
      </w:r>
      <w:r>
        <w:rPr>
          <w:rFonts w:ascii="宋体" w:eastAsia="宋体" w:hAnsi="宋体" w:hint="eastAsia"/>
          <w:sz w:val="30"/>
          <w:szCs w:val="30"/>
        </w:rPr>
        <w:t>主要明确施行日期</w:t>
      </w:r>
      <w:r>
        <w:rPr>
          <w:rFonts w:ascii="宋体" w:eastAsia="宋体" w:hAnsi="宋体"/>
          <w:sz w:val="30"/>
          <w:szCs w:val="30"/>
        </w:rPr>
        <w:t>。</w:t>
      </w:r>
    </w:p>
    <w:p w:rsidR="00DF3E7E" w:rsidRDefault="00DD6E48">
      <w:pPr>
        <w:spacing w:line="520" w:lineRule="exact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(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二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)</w:t>
      </w:r>
      <w:r>
        <w:rPr>
          <w:rFonts w:ascii="楷体" w:eastAsia="楷体" w:hAnsi="楷体" w:cs="仿宋" w:hint="eastAsia"/>
          <w:b/>
          <w:bCs/>
          <w:sz w:val="32"/>
          <w:szCs w:val="32"/>
        </w:rPr>
        <w:t>《条例》的适用范围。</w:t>
      </w:r>
    </w:p>
    <w:p w:rsidR="00DF3E7E" w:rsidRDefault="00DD6E48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本条例适用于泉州行政区域内历史文化名城保护相关活动。保护对象包括</w:t>
      </w:r>
      <w:bookmarkStart w:id="1" w:name="_Hlk63829786"/>
      <w:r>
        <w:rPr>
          <w:rFonts w:ascii="宋体" w:eastAsia="宋体" w:hAnsi="宋体" w:hint="eastAsia"/>
          <w:sz w:val="30"/>
          <w:szCs w:val="30"/>
        </w:rPr>
        <w:t>世界文化遗产和文物，历史城区和周边环境、历史文化街区、地下和水下文物埋藏区，名镇、名村和传统村落，历史山体水系，历史建筑，传统地名，风景名胜区、古井古树名木，非物质文化遗产和法律、法规规定的其它保护对象。</w:t>
      </w:r>
      <w:bookmarkEnd w:id="1"/>
    </w:p>
    <w:p w:rsidR="00DF3E7E" w:rsidRDefault="00DF3E7E">
      <w:pPr>
        <w:ind w:firstLineChars="200" w:firstLine="600"/>
        <w:rPr>
          <w:rFonts w:ascii="宋体" w:eastAsia="宋体" w:hAnsi="宋体"/>
          <w:sz w:val="30"/>
          <w:szCs w:val="30"/>
        </w:rPr>
      </w:pPr>
      <w:bookmarkStart w:id="2" w:name="_GoBack"/>
      <w:bookmarkEnd w:id="2"/>
    </w:p>
    <w:sectPr w:rsidR="00DF3E7E" w:rsidSect="00DF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48" w:rsidRDefault="00DD6E48" w:rsidP="009206D8">
      <w:r>
        <w:separator/>
      </w:r>
    </w:p>
  </w:endnote>
  <w:endnote w:type="continuationSeparator" w:id="1">
    <w:p w:rsidR="00DD6E48" w:rsidRDefault="00DD6E48" w:rsidP="0092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48" w:rsidRDefault="00DD6E48" w:rsidP="009206D8">
      <w:r>
        <w:separator/>
      </w:r>
    </w:p>
  </w:footnote>
  <w:footnote w:type="continuationSeparator" w:id="1">
    <w:p w:rsidR="00DD6E48" w:rsidRDefault="00DD6E48" w:rsidP="009206D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69C"/>
    <w:rsid w:val="00056B75"/>
    <w:rsid w:val="000A56FE"/>
    <w:rsid w:val="00141647"/>
    <w:rsid w:val="001614AB"/>
    <w:rsid w:val="00172823"/>
    <w:rsid w:val="001A18B8"/>
    <w:rsid w:val="001C1C40"/>
    <w:rsid w:val="001E6C4E"/>
    <w:rsid w:val="0020680B"/>
    <w:rsid w:val="00227767"/>
    <w:rsid w:val="00247B59"/>
    <w:rsid w:val="00275539"/>
    <w:rsid w:val="002B30FA"/>
    <w:rsid w:val="002B5A9C"/>
    <w:rsid w:val="002E0578"/>
    <w:rsid w:val="002F7FA4"/>
    <w:rsid w:val="00387337"/>
    <w:rsid w:val="00395909"/>
    <w:rsid w:val="003C442B"/>
    <w:rsid w:val="003F1850"/>
    <w:rsid w:val="00444DBF"/>
    <w:rsid w:val="004A0A4F"/>
    <w:rsid w:val="004A2882"/>
    <w:rsid w:val="004A6A00"/>
    <w:rsid w:val="004D3C41"/>
    <w:rsid w:val="005035E0"/>
    <w:rsid w:val="00531896"/>
    <w:rsid w:val="00552DDC"/>
    <w:rsid w:val="005A2D49"/>
    <w:rsid w:val="00620A95"/>
    <w:rsid w:val="0063275E"/>
    <w:rsid w:val="00632D19"/>
    <w:rsid w:val="00672FA1"/>
    <w:rsid w:val="006E1539"/>
    <w:rsid w:val="006F7ACC"/>
    <w:rsid w:val="00744950"/>
    <w:rsid w:val="007613FD"/>
    <w:rsid w:val="007B14EC"/>
    <w:rsid w:val="007D04E4"/>
    <w:rsid w:val="007E04FD"/>
    <w:rsid w:val="007E4B3E"/>
    <w:rsid w:val="00804F13"/>
    <w:rsid w:val="0082595B"/>
    <w:rsid w:val="0083569C"/>
    <w:rsid w:val="00853E2C"/>
    <w:rsid w:val="00871069"/>
    <w:rsid w:val="008919F9"/>
    <w:rsid w:val="008A0B09"/>
    <w:rsid w:val="008B55B4"/>
    <w:rsid w:val="008D564C"/>
    <w:rsid w:val="009206D8"/>
    <w:rsid w:val="00954A01"/>
    <w:rsid w:val="00991C53"/>
    <w:rsid w:val="00A05D0C"/>
    <w:rsid w:val="00A12D71"/>
    <w:rsid w:val="00A906C3"/>
    <w:rsid w:val="00AA177A"/>
    <w:rsid w:val="00AA261C"/>
    <w:rsid w:val="00AC0C5B"/>
    <w:rsid w:val="00AC7581"/>
    <w:rsid w:val="00B11D27"/>
    <w:rsid w:val="00B270CB"/>
    <w:rsid w:val="00B35A09"/>
    <w:rsid w:val="00B47442"/>
    <w:rsid w:val="00BA6A7E"/>
    <w:rsid w:val="00BA6A99"/>
    <w:rsid w:val="00BC6F30"/>
    <w:rsid w:val="00C23F3E"/>
    <w:rsid w:val="00C34DC7"/>
    <w:rsid w:val="00CD4489"/>
    <w:rsid w:val="00D30741"/>
    <w:rsid w:val="00D811A9"/>
    <w:rsid w:val="00DA48E6"/>
    <w:rsid w:val="00DC5B2A"/>
    <w:rsid w:val="00DD6E48"/>
    <w:rsid w:val="00DE7917"/>
    <w:rsid w:val="00DF3E7E"/>
    <w:rsid w:val="00E2795E"/>
    <w:rsid w:val="00E90A6D"/>
    <w:rsid w:val="00E962BC"/>
    <w:rsid w:val="00EA779E"/>
    <w:rsid w:val="00EB1B5F"/>
    <w:rsid w:val="00EB7677"/>
    <w:rsid w:val="00F228B8"/>
    <w:rsid w:val="00F64B3D"/>
    <w:rsid w:val="00FB5FF2"/>
    <w:rsid w:val="00FC46FD"/>
    <w:rsid w:val="4F41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3E7E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DF3E7E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qFormat/>
    <w:rsid w:val="00DF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F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rsid w:val="00DF3E7E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rsid w:val="00DF3E7E"/>
    <w:rPr>
      <w:rFonts w:ascii="Calibri" w:eastAsia="宋体" w:hAnsi="Calibri" w:cs="Times New Roman"/>
      <w:b/>
      <w:kern w:val="44"/>
      <w:sz w:val="36"/>
      <w:szCs w:val="24"/>
    </w:rPr>
  </w:style>
  <w:style w:type="paragraph" w:styleId="a6">
    <w:name w:val="List Paragraph"/>
    <w:basedOn w:val="a"/>
    <w:uiPriority w:val="99"/>
    <w:rsid w:val="00DF3E7E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DF3E7E"/>
  </w:style>
  <w:style w:type="character" w:customStyle="1" w:styleId="2Char">
    <w:name w:val="正文首行缩进 2 Char"/>
    <w:basedOn w:val="Char"/>
    <w:link w:val="2"/>
    <w:qFormat/>
    <w:rsid w:val="00DF3E7E"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DF3E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F3E7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206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06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A7%A6/2681927" TargetMode="External"/><Relationship Id="rId13" Type="http://schemas.openxmlformats.org/officeDocument/2006/relationships/hyperlink" Target="https://baike.baidu.com/item/%E6%B5%B7%E6%BB%A8%E9%82%B9%E9%B2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91%A8/2305819" TargetMode="External"/><Relationship Id="rId12" Type="http://schemas.openxmlformats.org/officeDocument/2006/relationships/hyperlink" Target="https://baike.baidu.com/item/%E6%B5%B7%E4%B8%8A%E4%B8%9D%E7%BB%B8%E4%B9%8B%E8%B7%AF/439948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8%81%94%E5%90%88%E5%9B%BD/1354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5%85%83/2634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AE%8B/4762756" TargetMode="External"/><Relationship Id="rId14" Type="http://schemas.openxmlformats.org/officeDocument/2006/relationships/hyperlink" Target="https://baike.baidu.com/item/%E4%B8%9C%E4%BA%9A%E6%96%87%E5%8C%96%E4%B9%8B%E9%83%BD/98181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2245</Characters>
  <Application>Microsoft Office Word</Application>
  <DocSecurity>0</DocSecurity>
  <Lines>18</Lines>
  <Paragraphs>5</Paragraphs>
  <ScaleCrop>false</ScaleCrop>
  <Company>Sysceo.com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2021-03-08T02:08:00Z</dcterms:created>
  <dcterms:modified xsi:type="dcterms:W3CDTF">2021-03-08T02:08:00Z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