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b/>
          <w:bCs/>
          <w:sz w:val="32"/>
          <w:szCs w:val="32"/>
        </w:rPr>
      </w:pPr>
      <w:bookmarkStart w:id="0" w:name="_GoBack"/>
      <w:bookmarkEnd w:id="0"/>
      <w:r>
        <w:rPr>
          <w:rFonts w:hint="eastAsia" w:ascii="宋体" w:hAnsi="宋体" w:eastAsia="宋体" w:cs="宋体"/>
          <w:b/>
          <w:bCs/>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44"/>
          <w:szCs w:val="44"/>
        </w:rPr>
      </w:pPr>
      <w:r>
        <w:rPr>
          <w:rFonts w:hint="eastAsia" w:ascii="宋体" w:hAnsi="宋体" w:eastAsia="宋体" w:cs="宋体"/>
          <w:b/>
          <w:bCs/>
          <w:sz w:val="44"/>
          <w:szCs w:val="44"/>
        </w:rPr>
        <w:t>泉州市保障性租赁住房工作</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宋体" w:hAnsi="宋体" w:eastAsia="宋体" w:cs="宋体"/>
          <w:b/>
          <w:bCs/>
          <w:sz w:val="44"/>
          <w:szCs w:val="44"/>
        </w:rPr>
      </w:pPr>
      <w:r>
        <w:rPr>
          <w:rFonts w:hint="eastAsia" w:ascii="宋体" w:hAnsi="宋体" w:eastAsia="宋体" w:cs="宋体"/>
          <w:b/>
          <w:bCs/>
          <w:sz w:val="44"/>
          <w:szCs w:val="44"/>
        </w:rPr>
        <w:t>领导小组成员名单及工作职责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为加强我市保障性租赁住房发展工作的统筹组织、协调推进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督促指导和监测评价，统筹协调保障性租赁住房政策落地实施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决定成立泉州市保障性租赁住房工作领导小组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成员名单如下：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一、人员组成</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组  长：</w:t>
      </w:r>
      <w:r>
        <w:rPr>
          <w:rFonts w:hint="eastAsia" w:ascii="仿宋_GB2312" w:hAnsi="仿宋_GB2312" w:eastAsia="仿宋_GB2312" w:cs="仿宋_GB2312"/>
          <w:sz w:val="32"/>
          <w:szCs w:val="32"/>
        </w:rPr>
        <w:t>蔡天守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市人民政府副市长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副组长：</w:t>
      </w:r>
      <w:r>
        <w:rPr>
          <w:rFonts w:hint="eastAsia" w:ascii="仿宋_GB2312" w:hAnsi="仿宋_GB2312" w:eastAsia="仿宋_GB2312" w:cs="仿宋_GB2312"/>
          <w:sz w:val="32"/>
          <w:szCs w:val="32"/>
        </w:rPr>
        <w:t>刘云峰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市人民政府副秘书长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张志铭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市住建局局长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  员：</w:t>
      </w:r>
      <w:r>
        <w:rPr>
          <w:rFonts w:hint="eastAsia" w:ascii="仿宋_GB2312" w:hAnsi="仿宋_GB2312" w:eastAsia="仿宋_GB2312" w:cs="仿宋_GB2312"/>
          <w:sz w:val="32"/>
          <w:szCs w:val="32"/>
        </w:rPr>
        <w:t xml:space="preserve">林合龙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市发改委副主任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任秀斌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市财政局二级调研员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珏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市资源规划局副局长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徐以宏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市住建局党组成员、三级调研员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鹏  市国资委副主任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刘建军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市市场监管局副局长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林育新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市金融监管局副局长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黄少军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市城管局四级调研员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黄松青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市税务局二级高级主办</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苏志鑫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人民银行泉州市中心支行副行长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陆宇锋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泉州银保监分局副局长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20" w:firstLineChars="6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李晓云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国网泉州供电公司副总经理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设在市住建局，承担领导小组的日常工作，负责沟通协调，并按照例会会商机制，统筹协调推进保障性租赁住房项目征集、认定、建设、运营、监管工作。办公室主任由张志铭同志兼任，办公室副主任由林合龙、任秀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王珏、徐以宏同志兼任，成员由领导小组成员单位业务科室负责同志担任。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按实现保租房运营管理专业化、精细化、现代化、规模化的要求，在现有国有企业中选择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家企业专门负责中心市区国有保障性租赁住房的统一规划、建设、运营、管理等具体工作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由领导小组办公室对其进行业务管理和日常考核。</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二、工作职责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(一)贯彻落实上级关于发展保障性租赁住房决策部署以及市委、市政府工作要求，研究提出我市发展保障性租赁住房的政策措施。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(二)统筹、协调、推进我市保障性租赁住房工作，协调解决保障性租赁住房推进工作中遇到的问题。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(三)研究制定我市保障性租赁住房年度工作计划并组织实施</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(四)研究申报中央、省级补助资金需求规模，提出市级配套资金建议。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(五)跟踪掌握、汇总统计保障性租赁住房建设情况，指导地方做好实施保障性租赁住房有关工作，并督促检查地方保障性租赁住房实施进度。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(六)指导有发展保障性租赁住房需求的地区申报列入发展保障性租赁住房城市。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(七)完成领导小组交办的其他事项。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三、部门分工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(一)市住建局：承担领导小组日常工作，负责牵头会同有关部门提出保障性租赁住房规划和年度计划，牵头组织实施保障 性租赁住房规划和计划，汇总统计保障性租赁住房建设情况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监管建设工程质量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牵头指导协调推进全市保障性租赁住房建设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管理工作，研究制定保障性租赁住房分配、使用管理办法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牵头会同市发改委、财政局、资源规划局、税务局开展发展保障性租赁住房工作监测评价。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(二)市发改委：负责牵头指导落实保障性租赁住房项目立项审批(备案)管理，会同财政、住建部门落实保障性租赁住房中央预算内投资管理办法，提高资金使用效率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督促项目单位加强申报中央预算内投资补助，编制下达预算内投资计划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支持符合条件保障性租赁住房项目申报基础设施不动产投资信托基金(REITs)试点。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(三)市财政局：牵头落实好财政资金直达机制，及时拨付中央、省级及市本级财政专项补助资金;指导项目业主申报政府专项债券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强化对资金分配、使用的跟踪监控，指导督促绩效评价工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配合市住建局做好上级专项资金申报和分配下达工作;督促落实保障性租赁住房涉及的各项降费措施。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(四)市资源规划局：督促指导县(市、区)资源规划部门落实保障性租赁住房土地支持政策，做好不动产登记工作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落实保障性租赁住房用地计划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加快项目用地审批。负责拟定并落实中心市区保障性租赁住房用地年度供应计划，做好中心市区保障性租赁住房规划选址工作。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(五)市市场监管局：负责牵头加强保障性租赁住房的民用水电气价格监管检查，依法查处不按规定明码标价和不执行保障性租赁住房的民用水电气价格政策违法行为。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(六)市国资委：负责牵头指导市属国有企业推进闲置土地和房屋改建(改造)为保障性租赁住房，进一步盘活国有资产。</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(七)市金融监管局：引导金融机构加大对保障性租赁住房建设运营的信贷支持力度;支持和鼓励金融机构创新，协助推进保障性租赁住房项目申报基础设施领域不动产投资信托基金(REITs)试点项目。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(八)市城管局：负责依法对未取得或未按照建设工程规划许可证进行建设的保障性租赁住房项目进行查处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指导落实保障性租赁住房项目用水、用气价格按照居民用水、用气价格标准执行。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(九)人民银行泉州市中心支行：拓宽保障性租赁住房项目融资渠道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根据国家房地产金融政策，完善与保障性租赁住房相适应的贷款统计，指导金融机构开展金融产品和服务创新。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(十)市税务局：负责牵头落实国家有关税收优惠政策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配合有关部门制定专业化、规模化住房租赁企业的标准。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(十一)泉州银保监分局：引导银行业金融机构加大对符合信贷条件的保障性租赁住房项目的信贷支持力度，并做好相关金融服务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完善与保障性租赁住房相适应的贷款统计。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(十二)国网泉州供电公司：落实利用非居住存量房屋建设保障性租赁住房，取得保障性租赁住房项目认定书后，用电价格按照居民用电价格标准执行。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领导小组组成人员随工作变动而自然调整，不再另行发文</w:t>
      </w:r>
      <w:r>
        <w:rPr>
          <w:rFonts w:hint="eastAsia" w:ascii="仿宋_GB2312" w:hAnsi="仿宋_GB2312" w:eastAsia="仿宋_GB2312" w:cs="仿宋_GB2312"/>
          <w:sz w:val="32"/>
          <w:szCs w:val="32"/>
          <w:lang w:eastAsia="zh-CN"/>
        </w:rPr>
        <w:t>。</w:t>
      </w:r>
    </w:p>
    <w:p>
      <w:pPr>
        <w:jc w:val="both"/>
        <w:sectPr>
          <w:footerReference r:id="rId5" w:type="default"/>
          <w:pgSz w:w="11900" w:h="16820"/>
          <w:pgMar w:top="1429" w:right="1537" w:bottom="1255" w:left="1450" w:header="0" w:footer="885" w:gutter="0"/>
          <w:cols w:space="720" w:num="1"/>
        </w:sectPr>
      </w:pPr>
    </w:p>
    <w:p>
      <w:pPr>
        <w:spacing w:before="108" w:line="224" w:lineRule="auto"/>
        <w:rPr>
          <w:rFonts w:hint="eastAsia" w:ascii="宋体" w:hAnsi="宋体" w:eastAsia="宋体" w:cs="宋体"/>
          <w:b/>
          <w:bCs/>
          <w:sz w:val="32"/>
          <w:szCs w:val="32"/>
        </w:rPr>
      </w:pPr>
      <w:r>
        <w:rPr>
          <w:rFonts w:hint="eastAsia" w:ascii="宋体" w:hAnsi="宋体" w:eastAsia="宋体" w:cs="宋体"/>
          <w:b/>
          <w:bCs/>
          <w:spacing w:val="3"/>
          <w:sz w:val="32"/>
          <w:szCs w:val="32"/>
          <w14:textOutline w14:w="5994" w14:cap="flat" w14:cmpd="sng">
            <w14:solidFill>
              <w14:srgbClr w14:val="000000"/>
            </w14:solidFill>
            <w14:prstDash w14:val="solid"/>
            <w14:miter w14:val="0"/>
          </w14:textOutline>
        </w:rPr>
        <w:t>附件2</w:t>
      </w:r>
    </w:p>
    <w:p>
      <w:pPr>
        <w:spacing w:line="295" w:lineRule="auto"/>
        <w:rPr>
          <w:rFonts w:ascii="Arial"/>
          <w:sz w:val="21"/>
        </w:rPr>
      </w:pPr>
    </w:p>
    <w:p>
      <w:pPr>
        <w:spacing w:before="156" w:line="219" w:lineRule="auto"/>
        <w:ind w:left="841"/>
        <w:rPr>
          <w:rFonts w:ascii="宋体" w:hAnsi="宋体" w:eastAsia="宋体" w:cs="宋体"/>
          <w:sz w:val="48"/>
          <w:szCs w:val="48"/>
        </w:rPr>
      </w:pPr>
      <w:r>
        <w:rPr>
          <w:rFonts w:ascii="宋体" w:hAnsi="宋体" w:eastAsia="宋体" w:cs="宋体"/>
          <w:spacing w:val="-40"/>
          <w:sz w:val="48"/>
          <w:szCs w:val="48"/>
          <w14:textOutline w14:w="8712" w14:cap="flat" w14:cmpd="sng">
            <w14:solidFill>
              <w14:srgbClr w14:val="000000"/>
            </w14:solidFill>
            <w14:prstDash w14:val="solid"/>
            <w14:miter w14:val="0"/>
          </w14:textOutline>
        </w:rPr>
        <w:t>“十四五”期间保障性租赁住房任务分解表</w:t>
      </w:r>
    </w:p>
    <w:p>
      <w:pPr>
        <w:spacing w:before="235" w:line="221" w:lineRule="auto"/>
        <w:ind w:right="353"/>
        <w:jc w:val="right"/>
        <w:rPr>
          <w:rFonts w:ascii="仿宋" w:hAnsi="仿宋" w:eastAsia="仿宋" w:cs="仿宋"/>
          <w:sz w:val="33"/>
          <w:szCs w:val="33"/>
        </w:rPr>
      </w:pPr>
      <w:r>
        <w:rPr>
          <w:rFonts w:ascii="仿宋" w:hAnsi="仿宋" w:eastAsia="仿宋" w:cs="仿宋"/>
          <w:spacing w:val="-40"/>
          <w:sz w:val="33"/>
          <w:szCs w:val="33"/>
        </w:rPr>
        <w:t>单位：套/</w:t>
      </w:r>
      <w:r>
        <w:rPr>
          <w:rFonts w:ascii="仿宋" w:hAnsi="仿宋" w:eastAsia="仿宋" w:cs="仿宋"/>
          <w:spacing w:val="-39"/>
          <w:sz w:val="33"/>
          <w:szCs w:val="33"/>
        </w:rPr>
        <w:t>间</w:t>
      </w:r>
    </w:p>
    <w:p>
      <w:pPr>
        <w:spacing w:line="71" w:lineRule="exact"/>
      </w:pPr>
    </w:p>
    <w:tbl>
      <w:tblPr>
        <w:tblStyle w:val="4"/>
        <w:tblW w:w="9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2"/>
        <w:gridCol w:w="2367"/>
        <w:gridCol w:w="1298"/>
        <w:gridCol w:w="1249"/>
        <w:gridCol w:w="1259"/>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2482" w:type="dxa"/>
            <w:tcBorders>
              <w:top w:val="single" w:color="000000" w:sz="2" w:space="0"/>
              <w:bottom w:val="single" w:color="000000" w:sz="2" w:space="0"/>
            </w:tcBorders>
            <w:vAlign w:val="top"/>
          </w:tcPr>
          <w:p>
            <w:pPr>
              <w:rPr>
                <w:rFonts w:ascii="Arial"/>
                <w:sz w:val="21"/>
              </w:rPr>
            </w:pPr>
          </w:p>
        </w:tc>
        <w:tc>
          <w:tcPr>
            <w:tcW w:w="2367" w:type="dxa"/>
            <w:tcBorders>
              <w:top w:val="single" w:color="000000" w:sz="2" w:space="0"/>
              <w:bottom w:val="single" w:color="000000" w:sz="2" w:space="0"/>
            </w:tcBorders>
            <w:vAlign w:val="top"/>
          </w:tcPr>
          <w:p>
            <w:pPr>
              <w:spacing w:before="163" w:line="225" w:lineRule="auto"/>
              <w:ind w:left="2"/>
              <w:rPr>
                <w:rFonts w:hint="eastAsia" w:ascii="宋体" w:hAnsi="宋体" w:eastAsia="宋体" w:cs="宋体"/>
                <w:b w:val="0"/>
                <w:bCs w:val="0"/>
                <w:sz w:val="30"/>
                <w:szCs w:val="30"/>
              </w:rPr>
            </w:pPr>
            <w:r>
              <w:rPr>
                <w:rFonts w:hint="eastAsia" w:ascii="宋体" w:hAnsi="宋体" w:eastAsia="宋体" w:cs="宋体"/>
                <w:b w:val="0"/>
                <w:bCs w:val="0"/>
                <w:spacing w:val="4"/>
                <w:sz w:val="30"/>
                <w:szCs w:val="30"/>
              </w:rPr>
              <w:t>2021年—2022年</w:t>
            </w:r>
          </w:p>
        </w:tc>
        <w:tc>
          <w:tcPr>
            <w:tcW w:w="1298" w:type="dxa"/>
            <w:tcBorders>
              <w:top w:val="single" w:color="000000" w:sz="2" w:space="0"/>
              <w:bottom w:val="single" w:color="000000" w:sz="2" w:space="0"/>
            </w:tcBorders>
            <w:vAlign w:val="top"/>
          </w:tcPr>
          <w:p>
            <w:pPr>
              <w:spacing w:before="159" w:line="219" w:lineRule="auto"/>
              <w:ind w:left="140"/>
              <w:rPr>
                <w:rFonts w:hint="eastAsia" w:ascii="宋体" w:hAnsi="宋体" w:eastAsia="宋体" w:cs="宋体"/>
                <w:b w:val="0"/>
                <w:bCs w:val="0"/>
                <w:sz w:val="30"/>
                <w:szCs w:val="30"/>
              </w:rPr>
            </w:pPr>
            <w:r>
              <w:rPr>
                <w:rFonts w:hint="eastAsia" w:ascii="宋体" w:hAnsi="宋体" w:eastAsia="宋体" w:cs="宋体"/>
                <w:b w:val="0"/>
                <w:bCs w:val="0"/>
                <w:spacing w:val="1"/>
                <w:sz w:val="30"/>
                <w:szCs w:val="30"/>
                <w14:textOutline w14:w="6172" w14:cap="flat" w14:cmpd="sng">
                  <w14:solidFill>
                    <w14:srgbClr w14:val="000000"/>
                  </w14:solidFill>
                  <w14:prstDash w14:val="solid"/>
                  <w14:miter w14:val="0"/>
                </w14:textOutline>
              </w:rPr>
              <w:t>2023</w:t>
            </w:r>
            <w:r>
              <w:rPr>
                <w:rFonts w:hint="eastAsia" w:ascii="宋体" w:hAnsi="宋体" w:eastAsia="宋体" w:cs="宋体"/>
                <w:b w:val="0"/>
                <w:bCs w:val="0"/>
                <w:sz w:val="30"/>
                <w:szCs w:val="30"/>
                <w14:textOutline w14:w="6172" w14:cap="flat" w14:cmpd="sng">
                  <w14:solidFill>
                    <w14:srgbClr w14:val="000000"/>
                  </w14:solidFill>
                  <w14:prstDash w14:val="solid"/>
                  <w14:miter w14:val="0"/>
                </w14:textOutline>
              </w:rPr>
              <w:t>年</w:t>
            </w:r>
          </w:p>
        </w:tc>
        <w:tc>
          <w:tcPr>
            <w:tcW w:w="1249" w:type="dxa"/>
            <w:tcBorders>
              <w:top w:val="single" w:color="000000" w:sz="2" w:space="0"/>
              <w:bottom w:val="single" w:color="000000" w:sz="2" w:space="0"/>
            </w:tcBorders>
            <w:vAlign w:val="top"/>
          </w:tcPr>
          <w:p>
            <w:pPr>
              <w:spacing w:before="159" w:line="219" w:lineRule="auto"/>
              <w:ind w:left="112"/>
              <w:rPr>
                <w:rFonts w:hint="eastAsia" w:ascii="宋体" w:hAnsi="宋体" w:eastAsia="宋体" w:cs="宋体"/>
                <w:b w:val="0"/>
                <w:bCs w:val="0"/>
                <w:sz w:val="30"/>
                <w:szCs w:val="30"/>
              </w:rPr>
            </w:pPr>
            <w:r>
              <w:rPr>
                <w:rFonts w:hint="eastAsia" w:ascii="宋体" w:hAnsi="宋体" w:eastAsia="宋体" w:cs="宋体"/>
                <w:b w:val="0"/>
                <w:bCs w:val="0"/>
                <w:spacing w:val="1"/>
                <w:sz w:val="30"/>
                <w:szCs w:val="30"/>
                <w14:textOutline w14:w="6172" w14:cap="flat" w14:cmpd="sng">
                  <w14:solidFill>
                    <w14:srgbClr w14:val="000000"/>
                  </w14:solidFill>
                  <w14:prstDash w14:val="solid"/>
                  <w14:miter w14:val="0"/>
                </w14:textOutline>
              </w:rPr>
              <w:t>2024</w:t>
            </w:r>
            <w:r>
              <w:rPr>
                <w:rFonts w:hint="eastAsia" w:ascii="宋体" w:hAnsi="宋体" w:eastAsia="宋体" w:cs="宋体"/>
                <w:b w:val="0"/>
                <w:bCs w:val="0"/>
                <w:sz w:val="30"/>
                <w:szCs w:val="30"/>
                <w14:textOutline w14:w="6172" w14:cap="flat" w14:cmpd="sng">
                  <w14:solidFill>
                    <w14:srgbClr w14:val="000000"/>
                  </w14:solidFill>
                  <w14:prstDash w14:val="solid"/>
                  <w14:miter w14:val="0"/>
                </w14:textOutline>
              </w:rPr>
              <w:t>年</w:t>
            </w:r>
          </w:p>
        </w:tc>
        <w:tc>
          <w:tcPr>
            <w:tcW w:w="1259" w:type="dxa"/>
            <w:tcBorders>
              <w:top w:val="single" w:color="000000" w:sz="2" w:space="0"/>
              <w:bottom w:val="single" w:color="000000" w:sz="2" w:space="0"/>
            </w:tcBorders>
            <w:vAlign w:val="top"/>
          </w:tcPr>
          <w:p>
            <w:pPr>
              <w:spacing w:before="159" w:line="219" w:lineRule="auto"/>
              <w:ind w:left="123"/>
              <w:rPr>
                <w:rFonts w:hint="eastAsia" w:ascii="宋体" w:hAnsi="宋体" w:eastAsia="宋体" w:cs="宋体"/>
                <w:b w:val="0"/>
                <w:bCs w:val="0"/>
                <w:sz w:val="30"/>
                <w:szCs w:val="30"/>
              </w:rPr>
            </w:pPr>
            <w:r>
              <w:rPr>
                <w:rFonts w:hint="eastAsia" w:ascii="宋体" w:hAnsi="宋体" w:eastAsia="宋体" w:cs="宋体"/>
                <w:b w:val="0"/>
                <w:bCs w:val="0"/>
                <w:spacing w:val="1"/>
                <w:sz w:val="30"/>
                <w:szCs w:val="30"/>
                <w14:textOutline w14:w="6172" w14:cap="flat" w14:cmpd="sng">
                  <w14:solidFill>
                    <w14:srgbClr w14:val="000000"/>
                  </w14:solidFill>
                  <w14:prstDash w14:val="solid"/>
                  <w14:miter w14:val="0"/>
                </w14:textOutline>
              </w:rPr>
              <w:t>2025</w:t>
            </w:r>
            <w:r>
              <w:rPr>
                <w:rFonts w:hint="eastAsia" w:ascii="宋体" w:hAnsi="宋体" w:eastAsia="宋体" w:cs="宋体"/>
                <w:b w:val="0"/>
                <w:bCs w:val="0"/>
                <w:sz w:val="30"/>
                <w:szCs w:val="30"/>
                <w14:textOutline w14:w="6172" w14:cap="flat" w14:cmpd="sng">
                  <w14:solidFill>
                    <w14:srgbClr w14:val="000000"/>
                  </w14:solidFill>
                  <w14:prstDash w14:val="solid"/>
                  <w14:miter w14:val="0"/>
                </w14:textOutline>
              </w:rPr>
              <w:t>年</w:t>
            </w:r>
          </w:p>
        </w:tc>
        <w:tc>
          <w:tcPr>
            <w:tcW w:w="1134" w:type="dxa"/>
            <w:tcBorders>
              <w:top w:val="single" w:color="000000" w:sz="2" w:space="0"/>
              <w:bottom w:val="single" w:color="000000" w:sz="2" w:space="0"/>
            </w:tcBorders>
            <w:vAlign w:val="top"/>
          </w:tcPr>
          <w:p>
            <w:pPr>
              <w:spacing w:before="161" w:line="221" w:lineRule="auto"/>
              <w:ind w:left="274"/>
              <w:rPr>
                <w:rFonts w:hint="eastAsia" w:ascii="宋体" w:hAnsi="宋体" w:eastAsia="宋体" w:cs="宋体"/>
                <w:b w:val="0"/>
                <w:bCs w:val="0"/>
                <w:sz w:val="30"/>
                <w:szCs w:val="30"/>
              </w:rPr>
            </w:pPr>
            <w:r>
              <w:rPr>
                <w:rFonts w:hint="eastAsia" w:ascii="宋体" w:hAnsi="宋体" w:eastAsia="宋体" w:cs="宋体"/>
                <w:b w:val="0"/>
                <w:bCs w:val="0"/>
                <w:spacing w:val="2"/>
                <w:sz w:val="30"/>
                <w:szCs w:val="30"/>
                <w14:textOutline w14:w="6172" w14:cap="flat" w14:cmpd="sng">
                  <w14:solidFill>
                    <w14:srgbClr w14:val="000000"/>
                  </w14:solidFill>
                  <w14:prstDash w14:val="solid"/>
                  <w14:miter w14:val="0"/>
                </w14:textOutline>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2482" w:type="dxa"/>
            <w:tcBorders>
              <w:top w:val="single" w:color="000000" w:sz="2" w:space="0"/>
              <w:bottom w:val="single" w:color="000000" w:sz="2" w:space="0"/>
            </w:tcBorders>
            <w:vAlign w:val="top"/>
          </w:tcPr>
          <w:p>
            <w:pPr>
              <w:spacing w:before="161" w:line="221" w:lineRule="auto"/>
              <w:ind w:left="894"/>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合计</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7200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13150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13450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4200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38000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2482" w:type="dxa"/>
            <w:tcBorders>
              <w:top w:val="single" w:color="000000" w:sz="2" w:space="0"/>
              <w:bottom w:val="single" w:color="000000" w:sz="2" w:space="0"/>
            </w:tcBorders>
            <w:vAlign w:val="top"/>
          </w:tcPr>
          <w:p>
            <w:pPr>
              <w:spacing w:before="160" w:line="219" w:lineRule="auto"/>
              <w:ind w:left="724"/>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鲤</w:t>
            </w:r>
            <w:r>
              <w:rPr>
                <w:rFonts w:hint="eastAsia" w:ascii="仿宋_GB2312" w:hAnsi="仿宋_GB2312" w:eastAsia="仿宋_GB2312" w:cs="仿宋_GB2312"/>
                <w:spacing w:val="9"/>
                <w:sz w:val="32"/>
                <w:szCs w:val="32"/>
              </w:rPr>
              <w:t>城区</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1200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1500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1300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500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4500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2482" w:type="dxa"/>
            <w:tcBorders>
              <w:top w:val="single" w:color="000000" w:sz="2" w:space="0"/>
              <w:bottom w:val="single" w:color="000000" w:sz="2" w:space="0"/>
            </w:tcBorders>
            <w:vAlign w:val="top"/>
          </w:tcPr>
          <w:p>
            <w:pPr>
              <w:spacing w:before="161" w:line="220" w:lineRule="auto"/>
              <w:ind w:left="724"/>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丰</w:t>
            </w:r>
            <w:r>
              <w:rPr>
                <w:rFonts w:hint="eastAsia" w:ascii="仿宋_GB2312" w:hAnsi="仿宋_GB2312" w:eastAsia="仿宋_GB2312" w:cs="仿宋_GB2312"/>
                <w:spacing w:val="9"/>
                <w:sz w:val="32"/>
                <w:szCs w:val="32"/>
              </w:rPr>
              <w:t>泽区</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1200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3000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2500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600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7300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2482" w:type="dxa"/>
            <w:tcBorders>
              <w:top w:val="single" w:color="000000" w:sz="2" w:space="0"/>
              <w:bottom w:val="single" w:color="000000" w:sz="2" w:space="0"/>
            </w:tcBorders>
            <w:vAlign w:val="top"/>
          </w:tcPr>
          <w:p>
            <w:pPr>
              <w:spacing w:before="165" w:line="221" w:lineRule="auto"/>
              <w:ind w:left="724"/>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洛</w:t>
            </w:r>
            <w:r>
              <w:rPr>
                <w:rFonts w:hint="eastAsia" w:ascii="仿宋_GB2312" w:hAnsi="仿宋_GB2312" w:eastAsia="仿宋_GB2312" w:cs="仿宋_GB2312"/>
                <w:spacing w:val="9"/>
                <w:sz w:val="32"/>
                <w:szCs w:val="32"/>
              </w:rPr>
              <w:t>江区</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800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300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300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2482" w:type="dxa"/>
            <w:tcBorders>
              <w:top w:val="single" w:color="000000" w:sz="2" w:space="0"/>
              <w:bottom w:val="single" w:color="000000" w:sz="2" w:space="0"/>
            </w:tcBorders>
            <w:vAlign w:val="top"/>
          </w:tcPr>
          <w:p>
            <w:pPr>
              <w:spacing w:before="168" w:line="219" w:lineRule="auto"/>
              <w:ind w:left="384"/>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泉州开发</w:t>
            </w:r>
            <w:r>
              <w:rPr>
                <w:rFonts w:hint="eastAsia" w:ascii="仿宋_GB2312" w:hAnsi="仿宋_GB2312" w:eastAsia="仿宋_GB2312" w:cs="仿宋_GB2312"/>
                <w:spacing w:val="5"/>
                <w:sz w:val="32"/>
                <w:szCs w:val="32"/>
              </w:rPr>
              <w:t>区</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200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200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200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2482" w:type="dxa"/>
            <w:tcBorders>
              <w:top w:val="single" w:color="000000" w:sz="2" w:space="0"/>
              <w:bottom w:val="single" w:color="000000" w:sz="2" w:space="0"/>
            </w:tcBorders>
            <w:vAlign w:val="top"/>
          </w:tcPr>
          <w:p>
            <w:pPr>
              <w:spacing w:before="159" w:line="219" w:lineRule="auto"/>
              <w:ind w:left="44"/>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泉</w:t>
            </w:r>
            <w:r>
              <w:rPr>
                <w:rFonts w:hint="eastAsia" w:ascii="仿宋_GB2312" w:hAnsi="仿宋_GB2312" w:eastAsia="仿宋_GB2312" w:cs="仿宋_GB2312"/>
                <w:spacing w:val="4"/>
                <w:sz w:val="32"/>
                <w:szCs w:val="32"/>
              </w:rPr>
              <w:t>州台商投资区</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300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300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300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2482" w:type="dxa"/>
            <w:tcBorders>
              <w:top w:val="single" w:color="000000" w:sz="2" w:space="0"/>
              <w:bottom w:val="single" w:color="000000" w:sz="2" w:space="0"/>
            </w:tcBorders>
            <w:vAlign w:val="top"/>
          </w:tcPr>
          <w:p>
            <w:pPr>
              <w:spacing w:before="162" w:line="219" w:lineRule="auto"/>
              <w:ind w:left="724"/>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石</w:t>
            </w:r>
            <w:r>
              <w:rPr>
                <w:rFonts w:hint="eastAsia" w:ascii="仿宋_GB2312" w:hAnsi="仿宋_GB2312" w:eastAsia="仿宋_GB2312" w:cs="仿宋_GB2312"/>
                <w:spacing w:val="6"/>
                <w:sz w:val="32"/>
                <w:szCs w:val="32"/>
              </w:rPr>
              <w:t>狮市</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500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1000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1000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500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2482" w:type="dxa"/>
            <w:tcBorders>
              <w:top w:val="single" w:color="000000" w:sz="2" w:space="0"/>
              <w:bottom w:val="single" w:color="000000" w:sz="2" w:space="0"/>
            </w:tcBorders>
            <w:vAlign w:val="top"/>
          </w:tcPr>
          <w:p>
            <w:pPr>
              <w:spacing w:before="162" w:line="219" w:lineRule="auto"/>
              <w:ind w:left="724"/>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晋</w:t>
            </w:r>
            <w:r>
              <w:rPr>
                <w:rFonts w:hint="eastAsia" w:ascii="仿宋_GB2312" w:hAnsi="仿宋_GB2312" w:eastAsia="仿宋_GB2312" w:cs="仿宋_GB2312"/>
                <w:spacing w:val="6"/>
                <w:sz w:val="32"/>
                <w:szCs w:val="32"/>
              </w:rPr>
              <w:t>江市</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1500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4000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5000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1500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2482" w:type="dxa"/>
            <w:tcBorders>
              <w:top w:val="single" w:color="000000" w:sz="2" w:space="0"/>
              <w:bottom w:val="single" w:color="000000" w:sz="2" w:space="0"/>
            </w:tcBorders>
            <w:vAlign w:val="top"/>
          </w:tcPr>
          <w:p>
            <w:pPr>
              <w:spacing w:before="161" w:line="220" w:lineRule="auto"/>
              <w:ind w:left="724"/>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南安市</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800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1800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1800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600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2482" w:type="dxa"/>
            <w:tcBorders>
              <w:top w:val="single" w:color="000000" w:sz="2" w:space="0"/>
              <w:bottom w:val="single" w:color="000000" w:sz="2" w:space="0"/>
            </w:tcBorders>
            <w:vAlign w:val="top"/>
          </w:tcPr>
          <w:p>
            <w:pPr>
              <w:spacing w:before="161" w:line="220" w:lineRule="auto"/>
              <w:ind w:left="724"/>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惠安县</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200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600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600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2482" w:type="dxa"/>
            <w:tcBorders>
              <w:top w:val="single" w:color="000000" w:sz="2" w:space="0"/>
              <w:bottom w:val="single" w:color="000000" w:sz="2" w:space="0"/>
            </w:tcBorders>
            <w:vAlign w:val="top"/>
          </w:tcPr>
          <w:p>
            <w:pPr>
              <w:spacing w:before="161" w:line="220" w:lineRule="auto"/>
              <w:ind w:left="724"/>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德化县</w:t>
            </w:r>
          </w:p>
        </w:tc>
        <w:tc>
          <w:tcPr>
            <w:tcW w:w="2367"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500</w:t>
            </w:r>
          </w:p>
        </w:tc>
        <w:tc>
          <w:tcPr>
            <w:tcW w:w="1298"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450</w:t>
            </w:r>
          </w:p>
        </w:tc>
        <w:tc>
          <w:tcPr>
            <w:tcW w:w="124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450</w:t>
            </w:r>
          </w:p>
        </w:tc>
        <w:tc>
          <w:tcPr>
            <w:tcW w:w="1259"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100</w:t>
            </w:r>
          </w:p>
        </w:tc>
        <w:tc>
          <w:tcPr>
            <w:tcW w:w="1134" w:type="dxa"/>
            <w:tcBorders>
              <w:top w:val="single" w:color="000000" w:sz="2" w:space="0"/>
              <w:bottom w:val="single" w:color="000000" w:sz="2" w:space="0"/>
            </w:tcBorders>
            <w:vAlign w:val="center"/>
          </w:tcPr>
          <w:p>
            <w:pPr>
              <w:jc w:val="center"/>
              <w:rPr>
                <w:rFonts w:hint="eastAsia" w:ascii="宋体" w:hAnsi="宋体" w:eastAsia="宋体" w:cs="宋体"/>
                <w:sz w:val="32"/>
                <w:szCs w:val="32"/>
              </w:rPr>
            </w:pPr>
            <w:r>
              <w:rPr>
                <w:rFonts w:hint="eastAsia" w:ascii="宋体" w:hAnsi="宋体" w:eastAsia="宋体" w:cs="宋体"/>
                <w:sz w:val="32"/>
                <w:szCs w:val="32"/>
              </w:rPr>
              <w:t>1500</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1.市本级及市属国有企业建设的保租房按项目所在地计入属地目标任务数。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2.石狮市、晋江市、南安市、惠安县、德化县2021 年—2022年度保障性租赁住房任务纳入2023 年度一并考核。</w:t>
      </w:r>
    </w:p>
    <w:p/>
    <w:p/>
    <w:p/>
    <w:p/>
    <w:p/>
    <w:p>
      <w:pPr>
        <w:spacing w:line="750" w:lineRule="exact"/>
        <w:ind w:firstLine="5940"/>
        <w:textAlignment w:val="center"/>
      </w:pPr>
    </w:p>
    <w:sectPr>
      <w:footerReference r:id="rId6" w:type="default"/>
      <w:pgSz w:w="11900" w:h="16820"/>
      <w:pgMar w:top="1429" w:right="1490" w:bottom="400" w:left="14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9" w:lineRule="exact"/>
      <w:rPr>
        <w:rFonts w:ascii="仿宋" w:hAnsi="仿宋" w:eastAsia="仿宋" w:cs="仿宋"/>
        <w:sz w:val="28"/>
        <w:szCs w:val="28"/>
      </w:rPr>
    </w:pPr>
    <w:r>
      <w:rPr>
        <w:rFonts w:ascii="仿宋" w:hAnsi="仿宋" w:eastAsia="仿宋" w:cs="仿宋"/>
        <w:spacing w:val="-2"/>
        <w:position w:val="1"/>
        <w:sz w:val="28"/>
        <w:szCs w:val="28"/>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mI0Y2IwMWQxYzhjZDU3NzhkYjEwMTRmMTg2OTY1N2IifQ=="/>
  </w:docVars>
  <w:rsids>
    <w:rsidRoot w:val="00000000"/>
    <w:rsid w:val="082675F0"/>
    <w:rsid w:val="3A2031D2"/>
    <w:rsid w:val="5002086B"/>
    <w:rsid w:val="5BE676C9"/>
    <w:rsid w:val="6B324CD0"/>
    <w:rsid w:val="71BFA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29</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2022-08-29T18:53:00Z</dcterms:created>
  <dc:creator>Kingsoft-PDF</dc:creator>
  <cp:keywords>630c2a131d1b0400158500ad</cp:keywords>
  <cp:lastModifiedBy>Administrator</cp:lastModifiedBy>
  <dcterms:modified xsi:type="dcterms:W3CDTF">2023-12-19T08:02:27Z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2022-08-29T10:53:25Z</vt:filetime>
  </property>
  <property fmtid="{D5CDD505-2E9C-101B-9397-08002B2CF9AE}" pid="4" name="KSOProductBuildVer">
    <vt:lpwstr>2052-12.1.0.15990</vt:lpwstr>
  </property>
  <property fmtid="{D5CDD505-2E9C-101B-9397-08002B2CF9AE}" pid="5" name="ICV">
    <vt:lpwstr>666B2BFF7F434D659714DCBBE39F5555_13</vt:lpwstr>
  </property>
</Properties>
</file>